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1"/>
        <w:tblW w:w="9243" w:type="dxa"/>
        <w:tblInd w:w="-176" w:type="dxa"/>
        <w:tblLayout w:type="fixed"/>
        <w:tblLook w:val="0000" w:firstRow="0" w:lastRow="0" w:firstColumn="0" w:lastColumn="0" w:noHBand="0" w:noVBand="0"/>
      </w:tblPr>
      <w:tblGrid>
        <w:gridCol w:w="3573"/>
        <w:gridCol w:w="5670"/>
      </w:tblGrid>
      <w:tr w:rsidR="00911EF7" w:rsidRPr="00911EF7" w:rsidTr="00121108">
        <w:tc>
          <w:tcPr>
            <w:tcW w:w="3573" w:type="dxa"/>
          </w:tcPr>
          <w:p w:rsidR="00964372" w:rsidRPr="00911EF7" w:rsidRDefault="00367E35">
            <w:pPr>
              <w:ind w:right="-142"/>
              <w:jc w:val="center"/>
              <w:rPr>
                <w:b/>
                <w:sz w:val="26"/>
                <w:szCs w:val="26"/>
              </w:rPr>
            </w:pPr>
            <w:bookmarkStart w:id="0" w:name="_Hlk141776402"/>
            <w:r w:rsidRPr="00911EF7">
              <w:rPr>
                <w:b/>
                <w:sz w:val="26"/>
                <w:szCs w:val="26"/>
              </w:rPr>
              <w:t>VĂN PHÒNG CHÍNH PHỦ</w:t>
            </w:r>
          </w:p>
          <w:p w:rsidR="00964372" w:rsidRPr="00911EF7" w:rsidRDefault="00367E35">
            <w:pPr>
              <w:spacing w:after="240"/>
              <w:ind w:right="-142"/>
              <w:jc w:val="center"/>
              <w:rPr>
                <w:b/>
                <w:sz w:val="26"/>
                <w:szCs w:val="26"/>
                <w:vertAlign w:val="superscript"/>
              </w:rPr>
            </w:pPr>
            <w:r w:rsidRPr="00911EF7">
              <w:rPr>
                <w:b/>
                <w:sz w:val="26"/>
                <w:szCs w:val="26"/>
                <w:vertAlign w:val="superscript"/>
              </w:rPr>
              <w:t>_______________</w:t>
            </w:r>
          </w:p>
          <w:p w:rsidR="00964372" w:rsidRPr="00911EF7" w:rsidRDefault="00367E35">
            <w:pPr>
              <w:ind w:right="-144"/>
              <w:jc w:val="center"/>
              <w:rPr>
                <w:sz w:val="28"/>
                <w:szCs w:val="28"/>
              </w:rPr>
            </w:pPr>
            <w:r w:rsidRPr="00911EF7">
              <w:rPr>
                <w:sz w:val="28"/>
                <w:szCs w:val="28"/>
              </w:rPr>
              <w:t>Số:         /BC-VPCP</w:t>
            </w:r>
          </w:p>
        </w:tc>
        <w:tc>
          <w:tcPr>
            <w:tcW w:w="5670" w:type="dxa"/>
          </w:tcPr>
          <w:p w:rsidR="00964372" w:rsidRPr="00911EF7" w:rsidRDefault="00367E35">
            <w:pPr>
              <w:pBdr>
                <w:top w:val="nil"/>
                <w:left w:val="nil"/>
                <w:bottom w:val="nil"/>
                <w:right w:val="nil"/>
                <w:between w:val="nil"/>
              </w:pBdr>
              <w:jc w:val="center"/>
              <w:rPr>
                <w:b/>
                <w:sz w:val="26"/>
                <w:szCs w:val="26"/>
              </w:rPr>
            </w:pPr>
            <w:r w:rsidRPr="00911EF7">
              <w:rPr>
                <w:b/>
                <w:sz w:val="26"/>
                <w:szCs w:val="26"/>
              </w:rPr>
              <w:t>CỘNG HOÀ XÃ HỘI CHỦ NGHĨA VIỆT NAM</w:t>
            </w:r>
          </w:p>
          <w:p w:rsidR="00964372" w:rsidRPr="00911EF7" w:rsidRDefault="00367E35">
            <w:pPr>
              <w:ind w:right="-144"/>
              <w:jc w:val="center"/>
              <w:rPr>
                <w:b/>
                <w:sz w:val="28"/>
                <w:szCs w:val="28"/>
              </w:rPr>
            </w:pPr>
            <w:r w:rsidRPr="00911EF7">
              <w:rPr>
                <w:b/>
                <w:sz w:val="28"/>
                <w:szCs w:val="28"/>
              </w:rPr>
              <w:t>Độc lập - Tự do - Hạnh phúc</w:t>
            </w:r>
          </w:p>
          <w:p w:rsidR="00964372" w:rsidRPr="00911EF7" w:rsidRDefault="00367E35">
            <w:pPr>
              <w:ind w:right="-144"/>
              <w:jc w:val="center"/>
              <w:rPr>
                <w:b/>
                <w:vertAlign w:val="superscript"/>
              </w:rPr>
            </w:pPr>
            <w:r w:rsidRPr="00911EF7">
              <w:rPr>
                <w:b/>
                <w:vertAlign w:val="superscript"/>
              </w:rPr>
              <w:t>____________________________________________</w:t>
            </w:r>
          </w:p>
          <w:p w:rsidR="00964372" w:rsidRPr="00911EF7" w:rsidRDefault="00367E35">
            <w:pPr>
              <w:ind w:right="-144"/>
              <w:jc w:val="center"/>
              <w:rPr>
                <w:i/>
              </w:rPr>
            </w:pPr>
            <w:r w:rsidRPr="00911EF7">
              <w:rPr>
                <w:i/>
                <w:sz w:val="26"/>
                <w:szCs w:val="26"/>
              </w:rPr>
              <w:t xml:space="preserve">Hà Nội, ngày        tháng </w:t>
            </w:r>
            <w:r w:rsidR="00ED4B21">
              <w:rPr>
                <w:i/>
                <w:sz w:val="26"/>
                <w:szCs w:val="26"/>
              </w:rPr>
              <w:t xml:space="preserve">    </w:t>
            </w:r>
            <w:r w:rsidR="00046B77" w:rsidRPr="00911EF7">
              <w:rPr>
                <w:i/>
                <w:sz w:val="26"/>
                <w:szCs w:val="26"/>
              </w:rPr>
              <w:t xml:space="preserve"> </w:t>
            </w:r>
            <w:r w:rsidRPr="00911EF7">
              <w:rPr>
                <w:i/>
                <w:sz w:val="26"/>
                <w:szCs w:val="26"/>
              </w:rPr>
              <w:t>năm 202</w:t>
            </w:r>
            <w:r w:rsidR="00ED4B21">
              <w:rPr>
                <w:i/>
                <w:sz w:val="26"/>
                <w:szCs w:val="26"/>
              </w:rPr>
              <w:t>4</w:t>
            </w:r>
            <w:r w:rsidRPr="00911EF7">
              <w:rPr>
                <w:i/>
                <w:sz w:val="26"/>
                <w:szCs w:val="26"/>
              </w:rPr>
              <w:t xml:space="preserve"> </w:t>
            </w:r>
          </w:p>
        </w:tc>
      </w:tr>
      <w:tr w:rsidR="00911EF7" w:rsidRPr="00911EF7" w:rsidTr="00121108">
        <w:tc>
          <w:tcPr>
            <w:tcW w:w="9243" w:type="dxa"/>
            <w:gridSpan w:val="2"/>
          </w:tcPr>
          <w:p w:rsidR="00121108" w:rsidRPr="00911EF7" w:rsidRDefault="00121108" w:rsidP="0085079F">
            <w:pPr>
              <w:spacing w:line="320" w:lineRule="exact"/>
              <w:jc w:val="center"/>
              <w:rPr>
                <w:b/>
                <w:sz w:val="28"/>
                <w:szCs w:val="28"/>
              </w:rPr>
            </w:pPr>
          </w:p>
        </w:tc>
      </w:tr>
    </w:tbl>
    <w:p w:rsidR="00CF2D19" w:rsidRDefault="00CF2D19" w:rsidP="00DB7F0D">
      <w:pPr>
        <w:widowControl w:val="0"/>
        <w:jc w:val="center"/>
        <w:rPr>
          <w:b/>
          <w:sz w:val="10"/>
          <w:szCs w:val="10"/>
          <w:lang w:val="en-US"/>
        </w:rPr>
      </w:pPr>
    </w:p>
    <w:p w:rsidR="00414513" w:rsidRPr="00CF2D19" w:rsidRDefault="00414513" w:rsidP="00DB7F0D">
      <w:pPr>
        <w:widowControl w:val="0"/>
        <w:jc w:val="center"/>
        <w:rPr>
          <w:b/>
          <w:sz w:val="10"/>
          <w:szCs w:val="10"/>
          <w:lang w:val="en-US"/>
        </w:rPr>
      </w:pPr>
    </w:p>
    <w:p w:rsidR="00DB7F0D" w:rsidRPr="00664966" w:rsidRDefault="00DB7F0D" w:rsidP="00DB7F0D">
      <w:pPr>
        <w:widowControl w:val="0"/>
        <w:jc w:val="center"/>
        <w:rPr>
          <w:b/>
          <w:lang w:val="en-US"/>
        </w:rPr>
      </w:pPr>
      <w:r w:rsidRPr="00664966">
        <w:rPr>
          <w:b/>
          <w:lang w:val="en-US"/>
        </w:rPr>
        <w:t>BÁO CÁO</w:t>
      </w:r>
    </w:p>
    <w:p w:rsidR="00DB7F0D" w:rsidRDefault="00196A8D" w:rsidP="00196A8D">
      <w:pPr>
        <w:widowControl w:val="0"/>
        <w:jc w:val="center"/>
        <w:rPr>
          <w:b/>
          <w:color w:val="000000"/>
          <w:spacing w:val="-4"/>
          <w:lang w:val="en-US"/>
        </w:rPr>
      </w:pPr>
      <w:r>
        <w:rPr>
          <w:b/>
          <w:color w:val="000000"/>
          <w:spacing w:val="-4"/>
          <w:lang w:val="en-US"/>
        </w:rPr>
        <w:t xml:space="preserve">Kết quả công tác cải cách thủ tục hành chính, hoạt động </w:t>
      </w:r>
      <w:r w:rsidR="00711F71">
        <w:rPr>
          <w:b/>
          <w:color w:val="000000"/>
          <w:spacing w:val="-4"/>
          <w:lang w:val="en-US"/>
        </w:rPr>
        <w:br/>
      </w:r>
      <w:r>
        <w:rPr>
          <w:b/>
          <w:color w:val="000000"/>
          <w:spacing w:val="-4"/>
          <w:lang w:val="en-US"/>
        </w:rPr>
        <w:t xml:space="preserve">của Tổ công tác và Hội đồng tư vấn 6 tháng đầu năm 2024 </w:t>
      </w:r>
      <w:r w:rsidR="00711F71">
        <w:rPr>
          <w:b/>
          <w:color w:val="000000"/>
          <w:spacing w:val="-4"/>
          <w:lang w:val="en-US"/>
        </w:rPr>
        <w:br/>
      </w:r>
      <w:r>
        <w:rPr>
          <w:b/>
          <w:color w:val="000000"/>
          <w:spacing w:val="-4"/>
          <w:lang w:val="en-US"/>
        </w:rPr>
        <w:t>và phương hướng, nhiệm vụ trong thời gian tới</w:t>
      </w:r>
    </w:p>
    <w:p w:rsidR="00F15CDA" w:rsidRPr="00B32371" w:rsidRDefault="00D67D98" w:rsidP="00B32371">
      <w:pPr>
        <w:widowControl w:val="0"/>
        <w:spacing w:before="120" w:after="240"/>
        <w:rPr>
          <w:sz w:val="10"/>
          <w:szCs w:val="10"/>
        </w:rPr>
      </w:pPr>
      <w:r w:rsidRPr="00CF2D19">
        <w:rPr>
          <w:b/>
          <w:noProof/>
          <w:sz w:val="10"/>
          <w:szCs w:val="10"/>
        </w:rPr>
        <mc:AlternateContent>
          <mc:Choice Requires="wps">
            <w:drawing>
              <wp:anchor distT="0" distB="0" distL="114300" distR="114300" simplePos="0" relativeHeight="251659264" behindDoc="0" locked="0" layoutInCell="1" allowOverlap="1">
                <wp:simplePos x="0" y="0"/>
                <wp:positionH relativeFrom="column">
                  <wp:posOffset>2444115</wp:posOffset>
                </wp:positionH>
                <wp:positionV relativeFrom="paragraph">
                  <wp:posOffset>78105</wp:posOffset>
                </wp:positionV>
                <wp:extent cx="72356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235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0DE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45pt,6.15pt" to="249.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" strokecolor="black [3040]"/>
            </w:pict>
          </mc:Fallback>
        </mc:AlternateContent>
      </w: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791"/>
      </w:tblGrid>
      <w:tr w:rsidR="00F15CDA" w:rsidRPr="00B32371" w:rsidTr="00B32371">
        <w:tc>
          <w:tcPr>
            <w:tcW w:w="1565" w:type="dxa"/>
          </w:tcPr>
          <w:p w:rsidR="00F15CDA" w:rsidRPr="00B32371" w:rsidRDefault="00F15CDA" w:rsidP="00B32371">
            <w:pPr>
              <w:jc w:val="right"/>
              <w:rPr>
                <w:bCs/>
                <w:iCs/>
                <w:sz w:val="28"/>
                <w:szCs w:val="28"/>
                <w:lang w:val="de-DE"/>
              </w:rPr>
            </w:pPr>
            <w:r>
              <w:rPr>
                <w:bCs/>
                <w:iCs/>
                <w:sz w:val="28"/>
                <w:szCs w:val="28"/>
                <w:lang w:val="de-DE"/>
              </w:rPr>
              <w:t>Kính gửi:</w:t>
            </w:r>
          </w:p>
        </w:tc>
        <w:tc>
          <w:tcPr>
            <w:tcW w:w="7791" w:type="dxa"/>
          </w:tcPr>
          <w:p w:rsidR="00F15CDA" w:rsidRPr="00B32371" w:rsidRDefault="00F15CDA" w:rsidP="00B32371">
            <w:pPr>
              <w:jc w:val="both"/>
              <w:rPr>
                <w:bCs/>
                <w:iCs/>
                <w:sz w:val="28"/>
                <w:szCs w:val="28"/>
                <w:lang w:val="de-DE"/>
              </w:rPr>
            </w:pPr>
          </w:p>
        </w:tc>
      </w:tr>
      <w:tr w:rsidR="00F15CDA" w:rsidRPr="00B32371" w:rsidTr="00B32371">
        <w:tc>
          <w:tcPr>
            <w:tcW w:w="1565" w:type="dxa"/>
          </w:tcPr>
          <w:p w:rsidR="00F15CDA" w:rsidRPr="00B32371" w:rsidRDefault="00F15CDA" w:rsidP="00B32371">
            <w:pPr>
              <w:jc w:val="both"/>
              <w:rPr>
                <w:bCs/>
                <w:iCs/>
                <w:sz w:val="28"/>
                <w:szCs w:val="28"/>
                <w:lang w:val="de-DE"/>
              </w:rPr>
            </w:pPr>
          </w:p>
        </w:tc>
        <w:tc>
          <w:tcPr>
            <w:tcW w:w="7791" w:type="dxa"/>
          </w:tcPr>
          <w:p w:rsidR="00F15CDA" w:rsidRDefault="00F15CDA" w:rsidP="00B32371">
            <w:pPr>
              <w:ind w:left="-96"/>
              <w:jc w:val="both"/>
              <w:rPr>
                <w:bCs/>
                <w:iCs/>
                <w:sz w:val="28"/>
                <w:szCs w:val="28"/>
                <w:lang w:val="de-DE"/>
              </w:rPr>
            </w:pPr>
            <w:r>
              <w:rPr>
                <w:bCs/>
                <w:iCs/>
                <w:sz w:val="28"/>
                <w:szCs w:val="28"/>
                <w:lang w:val="de-DE"/>
              </w:rPr>
              <w:t>- Phó Thủ tướng Chính phủ Trần Lưu Quang, Tổ trưởng Tổ công tác;</w:t>
            </w:r>
          </w:p>
          <w:p w:rsidR="00F15CDA" w:rsidRPr="00B32371" w:rsidRDefault="00F15CDA" w:rsidP="00B32371">
            <w:pPr>
              <w:ind w:left="-96"/>
              <w:jc w:val="both"/>
              <w:rPr>
                <w:bCs/>
                <w:iCs/>
                <w:sz w:val="28"/>
                <w:szCs w:val="28"/>
                <w:lang w:val="de-DE"/>
              </w:rPr>
            </w:pPr>
            <w:r>
              <w:rPr>
                <w:bCs/>
                <w:iCs/>
                <w:sz w:val="28"/>
                <w:szCs w:val="28"/>
                <w:lang w:val="de-DE"/>
              </w:rPr>
              <w:t>- Đồng kính gửi Thủ tướng Chính phủ Phạm Minh Chính.</w:t>
            </w:r>
          </w:p>
        </w:tc>
      </w:tr>
    </w:tbl>
    <w:p w:rsidR="00F15CDA" w:rsidRDefault="00F15CDA" w:rsidP="00B32371">
      <w:pPr>
        <w:spacing w:before="100" w:after="100"/>
        <w:jc w:val="both"/>
        <w:rPr>
          <w:bCs/>
          <w:iCs/>
          <w:lang w:val="de-DE"/>
        </w:rPr>
      </w:pPr>
    </w:p>
    <w:p w:rsidR="00DB7F0D" w:rsidRPr="007721C0" w:rsidRDefault="00DB7F0D" w:rsidP="00F51789">
      <w:pPr>
        <w:spacing w:before="100" w:after="100"/>
        <w:ind w:firstLine="709"/>
        <w:jc w:val="both"/>
        <w:rPr>
          <w:bCs/>
          <w:iCs/>
          <w:lang w:val="en-US"/>
        </w:rPr>
      </w:pPr>
      <w:r w:rsidRPr="007721C0">
        <w:rPr>
          <w:bCs/>
          <w:iCs/>
          <w:lang w:val="de-DE"/>
        </w:rPr>
        <w:t xml:space="preserve">Trên cơ sở tổng hợp báo cáo </w:t>
      </w:r>
      <w:r w:rsidRPr="007721C0">
        <w:rPr>
          <w:bCs/>
          <w:iCs/>
        </w:rPr>
        <w:t xml:space="preserve">của </w:t>
      </w:r>
      <w:r w:rsidRPr="007721C0">
        <w:rPr>
          <w:bCs/>
          <w:iCs/>
          <w:lang w:val="en-US"/>
        </w:rPr>
        <w:t xml:space="preserve">các thành viên Tổ công tác cải cách thủ tục hành chính (TTHC) của Thủ tướng Chính phủ (sau đây gọi tắt là Tổ công tác) và các thành viên, </w:t>
      </w:r>
      <w:r w:rsidRPr="007721C0">
        <w:rPr>
          <w:bCs/>
          <w:iCs/>
        </w:rPr>
        <w:t>B</w:t>
      </w:r>
      <w:r w:rsidRPr="007721C0">
        <w:rPr>
          <w:bCs/>
          <w:iCs/>
          <w:lang w:val="en-US"/>
        </w:rPr>
        <w:t>an công tác của Hội đồng tư vấn cải cách TTHC của Thủ tướng Chính phủ (sau đây gọi tắt là Hội đồng tư vấn),</w:t>
      </w:r>
      <w:r w:rsidRPr="007721C0">
        <w:rPr>
          <w:bCs/>
          <w:iCs/>
        </w:rPr>
        <w:t xml:space="preserve"> </w:t>
      </w:r>
      <w:r w:rsidRPr="007721C0">
        <w:rPr>
          <w:bCs/>
          <w:iCs/>
          <w:lang w:val="de-DE"/>
        </w:rPr>
        <w:t xml:space="preserve">Văn phòng Chính phủ - </w:t>
      </w:r>
      <w:r w:rsidRPr="007721C0">
        <w:rPr>
          <w:bCs/>
          <w:iCs/>
        </w:rPr>
        <w:t>c</w:t>
      </w:r>
      <w:r w:rsidRPr="007721C0">
        <w:rPr>
          <w:bCs/>
          <w:iCs/>
          <w:lang w:val="de-DE"/>
        </w:rPr>
        <w:t>ơ quan thường trực Tổ công tác và Hội đồng tư vấn báo cáo về tình</w:t>
      </w:r>
      <w:r w:rsidRPr="007721C0">
        <w:rPr>
          <w:bCs/>
          <w:iCs/>
        </w:rPr>
        <w:t xml:space="preserve"> hình</w:t>
      </w:r>
      <w:r w:rsidR="00F51789" w:rsidRPr="007721C0">
        <w:rPr>
          <w:bCs/>
          <w:iCs/>
        </w:rPr>
        <w:t>,</w:t>
      </w:r>
      <w:r w:rsidRPr="007721C0">
        <w:rPr>
          <w:bCs/>
          <w:iCs/>
        </w:rPr>
        <w:t xml:space="preserve"> kết quả </w:t>
      </w:r>
      <w:r w:rsidR="00F51789" w:rsidRPr="007721C0">
        <w:rPr>
          <w:bCs/>
          <w:iCs/>
          <w:lang w:val="en-US"/>
        </w:rPr>
        <w:t>công tác cải cách TTHC</w:t>
      </w:r>
      <w:r w:rsidRPr="007721C0">
        <w:rPr>
          <w:bCs/>
          <w:iCs/>
          <w:lang w:val="en-US"/>
        </w:rPr>
        <w:t xml:space="preserve"> </w:t>
      </w:r>
      <w:r w:rsidR="00CF2D19" w:rsidRPr="007721C0">
        <w:rPr>
          <w:bCs/>
          <w:iCs/>
          <w:lang w:val="en-US"/>
        </w:rPr>
        <w:t xml:space="preserve">6 tháng đầu </w:t>
      </w:r>
      <w:r w:rsidRPr="007721C0">
        <w:rPr>
          <w:bCs/>
          <w:iCs/>
          <w:lang w:val="en-US"/>
        </w:rPr>
        <w:t>năm 202</w:t>
      </w:r>
      <w:r w:rsidR="00CF2D19" w:rsidRPr="007721C0">
        <w:rPr>
          <w:bCs/>
          <w:iCs/>
          <w:lang w:val="en-US"/>
        </w:rPr>
        <w:t>4</w:t>
      </w:r>
      <w:r w:rsidRPr="007721C0">
        <w:rPr>
          <w:bCs/>
          <w:iCs/>
          <w:lang w:val="en-US"/>
        </w:rPr>
        <w:t xml:space="preserve"> </w:t>
      </w:r>
      <w:r w:rsidR="00F51789" w:rsidRPr="007721C0">
        <w:rPr>
          <w:bCs/>
          <w:iCs/>
          <w:lang w:val="en-US"/>
        </w:rPr>
        <w:t xml:space="preserve">và hoạt động </w:t>
      </w:r>
      <w:r w:rsidRPr="007721C0">
        <w:rPr>
          <w:bCs/>
          <w:iCs/>
          <w:lang w:val="en-US"/>
        </w:rPr>
        <w:t>của Tổ công tác và Hội đồng tư vấn</w:t>
      </w:r>
      <w:r w:rsidRPr="007721C0">
        <w:rPr>
          <w:bCs/>
          <w:iCs/>
          <w:lang w:val="de-DE"/>
        </w:rPr>
        <w:t xml:space="preserve"> như sau:</w:t>
      </w:r>
    </w:p>
    <w:p w:rsidR="00F51789" w:rsidRPr="007721C0" w:rsidRDefault="00F51789" w:rsidP="00F51789">
      <w:pPr>
        <w:shd w:val="clear" w:color="auto" w:fill="FFFFFF"/>
        <w:spacing w:before="100" w:after="100"/>
        <w:ind w:firstLine="709"/>
        <w:jc w:val="both"/>
        <w:rPr>
          <w:b/>
          <w:lang w:val="en-US"/>
        </w:rPr>
      </w:pPr>
      <w:bookmarkStart w:id="1" w:name="_Hlk171663910"/>
      <w:r w:rsidRPr="007721C0">
        <w:rPr>
          <w:b/>
          <w:lang w:val="en-US"/>
        </w:rPr>
        <w:t>I. KẾT QUẢ CẢI CÁCH TTHC 6 THÁNG ĐẦU NĂM 2024</w:t>
      </w:r>
    </w:p>
    <w:p w:rsidR="00F51789" w:rsidRPr="007721C0" w:rsidRDefault="00F51789" w:rsidP="00F51789">
      <w:pPr>
        <w:shd w:val="clear" w:color="auto" w:fill="FFFFFF"/>
        <w:spacing w:before="100" w:after="100"/>
        <w:ind w:firstLine="709"/>
        <w:jc w:val="both"/>
        <w:rPr>
          <w:b/>
          <w:lang w:val="en-US"/>
        </w:rPr>
      </w:pPr>
      <w:r w:rsidRPr="007721C0">
        <w:rPr>
          <w:b/>
          <w:lang w:val="en-US"/>
        </w:rPr>
        <w:t>1. Cải cách quy định TTHC</w:t>
      </w:r>
    </w:p>
    <w:p w:rsidR="00F51789" w:rsidRPr="007721C0" w:rsidRDefault="00F51789" w:rsidP="00F51789">
      <w:pPr>
        <w:tabs>
          <w:tab w:val="left" w:pos="993"/>
        </w:tabs>
        <w:spacing w:before="100" w:after="100"/>
        <w:ind w:firstLine="720"/>
        <w:jc w:val="both"/>
        <w:rPr>
          <w:rFonts w:ascii="Times New Roman Bold" w:hAnsi="Times New Roman Bold"/>
          <w:spacing w:val="-6"/>
          <w:lang w:val="vi-VN"/>
        </w:rPr>
      </w:pPr>
      <w:r w:rsidRPr="007721C0">
        <w:rPr>
          <w:rFonts w:ascii="Times New Roman Bold" w:hAnsi="Times New Roman Bold"/>
          <w:spacing w:val="-6"/>
          <w:lang w:val="en-US"/>
        </w:rPr>
        <w:t xml:space="preserve">a) </w:t>
      </w:r>
      <w:r w:rsidRPr="007721C0">
        <w:rPr>
          <w:rFonts w:ascii="Times New Roman Bold" w:hAnsi="Times New Roman Bold"/>
          <w:spacing w:val="-6"/>
        </w:rPr>
        <w:t xml:space="preserve">Về cắt giảm, đơn giản hóa </w:t>
      </w:r>
      <w:r w:rsidR="007721C0" w:rsidRPr="007721C0">
        <w:rPr>
          <w:rFonts w:ascii="Times New Roman Bold" w:hAnsi="Times New Roman Bold"/>
          <w:spacing w:val="-6"/>
        </w:rPr>
        <w:t>quy định liên quan đến hoạt động kinh doanh</w:t>
      </w:r>
    </w:p>
    <w:p w:rsidR="00F51789" w:rsidRPr="007721C0" w:rsidRDefault="00F51789" w:rsidP="00F51789">
      <w:pPr>
        <w:spacing w:before="100" w:after="100"/>
        <w:ind w:firstLine="720"/>
        <w:jc w:val="both"/>
        <w:rPr>
          <w:lang w:val="en-US"/>
        </w:rPr>
      </w:pPr>
      <w:r w:rsidRPr="007721C0">
        <w:rPr>
          <w:lang w:val="vi-VN"/>
        </w:rPr>
        <w:t xml:space="preserve">Thực hiện </w:t>
      </w:r>
      <w:r w:rsidRPr="007721C0">
        <w:rPr>
          <w:shd w:val="clear" w:color="auto" w:fill="FFFFFF"/>
        </w:rPr>
        <w:t>Chương trình cắt giảm, đơn giản hóa quy định liên quan đến hoạt động kinh doanh</w:t>
      </w:r>
      <w:r w:rsidRPr="007721C0">
        <w:rPr>
          <w:shd w:val="clear" w:color="auto" w:fill="FFFFFF"/>
          <w:lang w:val="vi-VN"/>
        </w:rPr>
        <w:t xml:space="preserve"> </w:t>
      </w:r>
      <w:r w:rsidRPr="007721C0">
        <w:rPr>
          <w:shd w:val="clear" w:color="auto" w:fill="FFFFFF"/>
        </w:rPr>
        <w:t>giai đoạn 2020-2025</w:t>
      </w:r>
      <w:r w:rsidRPr="007721C0">
        <w:rPr>
          <w:rStyle w:val="FootnoteReference"/>
          <w:shd w:val="clear" w:color="auto" w:fill="FFFFFF"/>
        </w:rPr>
        <w:footnoteReference w:id="1"/>
      </w:r>
      <w:r w:rsidRPr="007721C0">
        <w:rPr>
          <w:shd w:val="clear" w:color="auto" w:fill="FFFFFF"/>
          <w:lang w:val="vi-VN"/>
        </w:rPr>
        <w:t xml:space="preserve">, </w:t>
      </w:r>
      <w:r w:rsidRPr="007721C0">
        <w:rPr>
          <w:shd w:val="clear" w:color="auto" w:fill="FFFFFF"/>
          <w:lang w:val="en-US"/>
        </w:rPr>
        <w:t xml:space="preserve">trong 6 tháng đầu năm 2024, </w:t>
      </w:r>
      <w:r w:rsidRPr="007721C0">
        <w:rPr>
          <w:lang w:val="vi-VN"/>
        </w:rPr>
        <w:t>c</w:t>
      </w:r>
      <w:r w:rsidRPr="007721C0">
        <w:t xml:space="preserve">ác bộ, cơ quan đã cắt giảm, đơn giản hóa </w:t>
      </w:r>
      <w:r w:rsidRPr="007721C0">
        <w:rPr>
          <w:lang w:val="en-US"/>
        </w:rPr>
        <w:t xml:space="preserve">168 </w:t>
      </w:r>
      <w:r w:rsidR="007721C0" w:rsidRPr="007721C0">
        <w:rPr>
          <w:lang w:val="en-US"/>
        </w:rPr>
        <w:t>quy định liên quan đến hoạt động kinh doanh (QĐKD)</w:t>
      </w:r>
      <w:r w:rsidRPr="007721C0">
        <w:rPr>
          <w:rStyle w:val="FootnoteReference"/>
          <w:lang w:val="en-US"/>
        </w:rPr>
        <w:footnoteReference w:id="2"/>
      </w:r>
      <w:r w:rsidRPr="007721C0">
        <w:rPr>
          <w:lang w:val="en-US"/>
        </w:rPr>
        <w:t xml:space="preserve"> tại 16</w:t>
      </w:r>
      <w:r w:rsidR="00A26C18">
        <w:rPr>
          <w:lang w:val="en-US"/>
        </w:rPr>
        <w:t xml:space="preserve"> văn bản quy phạm pháp luật</w:t>
      </w:r>
      <w:r w:rsidRPr="007721C0">
        <w:rPr>
          <w:lang w:val="en-US"/>
        </w:rPr>
        <w:t xml:space="preserve"> </w:t>
      </w:r>
      <w:r w:rsidR="00A26C18">
        <w:rPr>
          <w:lang w:val="en-US"/>
        </w:rPr>
        <w:t>(</w:t>
      </w:r>
      <w:r w:rsidRPr="007721C0">
        <w:rPr>
          <w:lang w:val="en-US"/>
        </w:rPr>
        <w:t>VBQPPL</w:t>
      </w:r>
      <w:r w:rsidR="00A26C18">
        <w:rPr>
          <w:lang w:val="en-US"/>
        </w:rPr>
        <w:t>)</w:t>
      </w:r>
      <w:r w:rsidRPr="007721C0">
        <w:rPr>
          <w:rStyle w:val="FootnoteReference"/>
          <w:lang w:val="en-US"/>
        </w:rPr>
        <w:footnoteReference w:id="3"/>
      </w:r>
      <w:r w:rsidRPr="007721C0">
        <w:rPr>
          <w:lang w:val="en-US"/>
        </w:rPr>
        <w:t xml:space="preserve">. Thủ tướng Chính phủ đã phê duyệt phương án cắt giảm, đơn giản hóa đối với 125 QĐKD tại 47 VBQPPL thuộc phạm vi quản lý của 05 Bộ </w:t>
      </w:r>
      <w:r w:rsidRPr="007721C0">
        <w:rPr>
          <w:i/>
          <w:lang w:val="en-US"/>
        </w:rPr>
        <w:t>(Tư pháp, Công Thương, Lao động - Thương binh và Xã hội, Tài chính và Ngân hàng Nhà nước Việt Nam)</w:t>
      </w:r>
      <w:r w:rsidRPr="007721C0">
        <w:rPr>
          <w:rStyle w:val="FootnoteReference"/>
          <w:lang w:val="en-US"/>
        </w:rPr>
        <w:footnoteReference w:id="4"/>
      </w:r>
      <w:r w:rsidRPr="007721C0">
        <w:rPr>
          <w:lang w:val="en-US"/>
        </w:rPr>
        <w:t>.</w:t>
      </w:r>
    </w:p>
    <w:p w:rsidR="00F51789" w:rsidRPr="007721C0" w:rsidRDefault="00F51789" w:rsidP="00F51789">
      <w:pPr>
        <w:spacing w:before="100" w:after="100"/>
        <w:ind w:firstLine="720"/>
        <w:jc w:val="both"/>
        <w:rPr>
          <w:lang w:val="en-US"/>
        </w:rPr>
      </w:pPr>
      <w:r w:rsidRPr="007721C0">
        <w:rPr>
          <w:lang w:val="en-US"/>
        </w:rPr>
        <w:t>Tính từ năm 2021 đến nay, các bộ, cơ quan đã cắt giảm, đơn giản hóa 2.943 QĐKD</w:t>
      </w:r>
      <w:r w:rsidRPr="007721C0">
        <w:rPr>
          <w:rStyle w:val="FootnoteReference"/>
          <w:lang w:val="en-US"/>
        </w:rPr>
        <w:footnoteReference w:id="5"/>
      </w:r>
      <w:r w:rsidRPr="007721C0">
        <w:rPr>
          <w:i/>
          <w:lang w:val="en-US"/>
        </w:rPr>
        <w:t xml:space="preserve"> </w:t>
      </w:r>
      <w:r w:rsidRPr="007721C0">
        <w:rPr>
          <w:lang w:val="en-US"/>
        </w:rPr>
        <w:t>tại 250 VBQPPL</w:t>
      </w:r>
      <w:r w:rsidRPr="007721C0">
        <w:rPr>
          <w:rStyle w:val="FootnoteReference"/>
          <w:lang w:val="en-US"/>
        </w:rPr>
        <w:footnoteReference w:id="6"/>
      </w:r>
      <w:r w:rsidRPr="007721C0">
        <w:rPr>
          <w:lang w:val="en-US"/>
        </w:rPr>
        <w:t>,</w:t>
      </w:r>
      <w:r w:rsidRPr="007721C0">
        <w:rPr>
          <w:i/>
          <w:lang w:val="en-US"/>
        </w:rPr>
        <w:t xml:space="preserve"> </w:t>
      </w:r>
      <w:r w:rsidRPr="007721C0">
        <w:t>ước tính tỷ lệ cắt giảm, đơn giản hóa đạt khoảng 18,</w:t>
      </w:r>
      <w:r w:rsidR="0042277D" w:rsidRPr="007721C0">
        <w:t>6</w:t>
      </w:r>
      <w:r w:rsidRPr="007721C0">
        <w:t>% và khoảng 10% chi phí tuân thủ</w:t>
      </w:r>
      <w:r w:rsidRPr="007721C0">
        <w:rPr>
          <w:lang w:val="en-US"/>
        </w:rPr>
        <w:t xml:space="preserve">. </w:t>
      </w:r>
      <w:r w:rsidRPr="007721C0">
        <w:t xml:space="preserve">Nhiều quy định đã được cải cách mạnh mẽ mang </w:t>
      </w:r>
      <w:r w:rsidRPr="007721C0">
        <w:lastRenderedPageBreak/>
        <w:t>lại hiệu quả, lợi ích thiết thực, tạo sự chuyển biến tích cực góp phần cải thiện môi trường đầu tư kinh doanh.</w:t>
      </w:r>
    </w:p>
    <w:p w:rsidR="00F51789" w:rsidRPr="007721C0" w:rsidRDefault="00F51789" w:rsidP="00F51789">
      <w:pPr>
        <w:tabs>
          <w:tab w:val="left" w:pos="993"/>
        </w:tabs>
        <w:spacing w:before="100" w:after="100"/>
        <w:ind w:firstLine="720"/>
        <w:jc w:val="both"/>
        <w:rPr>
          <w:lang w:val="vi-VN"/>
        </w:rPr>
      </w:pPr>
      <w:r w:rsidRPr="007721C0">
        <w:rPr>
          <w:b/>
          <w:iCs/>
        </w:rPr>
        <w:t xml:space="preserve">b) </w:t>
      </w:r>
      <w:r w:rsidRPr="007721C0">
        <w:rPr>
          <w:b/>
        </w:rPr>
        <w:t>Về phân cấp trong giải quyết TTHC</w:t>
      </w:r>
    </w:p>
    <w:p w:rsidR="00F51789" w:rsidRPr="007721C0" w:rsidRDefault="00F51789" w:rsidP="00F51789">
      <w:pPr>
        <w:widowControl w:val="0"/>
        <w:tabs>
          <w:tab w:val="left" w:pos="851"/>
        </w:tabs>
        <w:spacing w:before="100" w:after="100"/>
        <w:ind w:firstLine="709"/>
        <w:jc w:val="both"/>
      </w:pPr>
      <w:r w:rsidRPr="007721C0">
        <w:rPr>
          <w:lang w:val="vi-VN"/>
        </w:rPr>
        <w:t xml:space="preserve">Thực hiện Quyết định </w:t>
      </w:r>
      <w:r w:rsidRPr="007721C0">
        <w:t>số 1015/QĐ-TTg ngày 30</w:t>
      </w:r>
      <w:r w:rsidRPr="007721C0">
        <w:rPr>
          <w:lang w:val="en-US"/>
        </w:rPr>
        <w:t xml:space="preserve"> tháng </w:t>
      </w:r>
      <w:r w:rsidRPr="007721C0">
        <w:t>8</w:t>
      </w:r>
      <w:r w:rsidRPr="007721C0">
        <w:rPr>
          <w:lang w:val="en-US"/>
        </w:rPr>
        <w:t xml:space="preserve"> năm </w:t>
      </w:r>
      <w:r w:rsidRPr="007721C0">
        <w:t>2022</w:t>
      </w:r>
      <w:r w:rsidRPr="007721C0">
        <w:rPr>
          <w:lang w:val="vi-VN"/>
        </w:rPr>
        <w:t xml:space="preserve"> của </w:t>
      </w:r>
      <w:r w:rsidRPr="007721C0">
        <w:t>Thủ tướng Chính phủ phê duyệt phương án phân cấp 699 TTHC</w:t>
      </w:r>
      <w:r w:rsidRPr="007721C0">
        <w:rPr>
          <w:lang w:val="vi-VN"/>
        </w:rPr>
        <w:t xml:space="preserve"> </w:t>
      </w:r>
      <w:r w:rsidRPr="007721C0">
        <w:rPr>
          <w:i/>
          <w:lang w:val="vi-VN"/>
        </w:rPr>
        <w:t>(</w:t>
      </w:r>
      <w:r w:rsidRPr="007721C0">
        <w:rPr>
          <w:i/>
        </w:rPr>
        <w:t>chiếm tỷ lệ 13,47% trên tổng số TTHC được rà soát với 232 VBQPPL cần sửa đổi, bổ sung trong giai đoạn 2022-2025</w:t>
      </w:r>
      <w:r w:rsidRPr="007721C0">
        <w:rPr>
          <w:i/>
          <w:lang w:val="vi-VN"/>
        </w:rPr>
        <w:t>),</w:t>
      </w:r>
      <w:r w:rsidRPr="007721C0">
        <w:rPr>
          <w:i/>
          <w:lang w:val="en-US"/>
        </w:rPr>
        <w:t xml:space="preserve"> </w:t>
      </w:r>
      <w:r w:rsidRPr="007721C0">
        <w:rPr>
          <w:lang w:val="en-US"/>
        </w:rPr>
        <w:t xml:space="preserve">trong 6 tháng đầu năm 2024, </w:t>
      </w:r>
      <w:r w:rsidRPr="007721C0">
        <w:t>các bộ, ngành đã phân cấp 108 TTHC tại 21 VBQPPL</w:t>
      </w:r>
      <w:r w:rsidRPr="007721C0">
        <w:rPr>
          <w:rStyle w:val="FootnoteReference"/>
        </w:rPr>
        <w:footnoteReference w:id="7"/>
      </w:r>
      <w:r w:rsidRPr="007721C0">
        <w:t xml:space="preserve">, trong đó 50 TTHC phân cấp từ cấp trên cho cấp dưới và 58 TTHC phân cấp trong nội của bộ, cơ quan. Tính từ năm 2022 đến nay, đã có </w:t>
      </w:r>
      <w:bookmarkStart w:id="2" w:name="_Hlk165044449"/>
      <w:r w:rsidRPr="007721C0">
        <w:t>19/21 bộ, cơ quan thực hiện phân cấp 261/699 TTHC tại 53 VBQPPL</w:t>
      </w:r>
      <w:bookmarkEnd w:id="2"/>
      <w:r w:rsidRPr="007721C0">
        <w:t xml:space="preserve">. Ngoài việc triển khai Quyết định 1015/QĐ-TTg, các bộ, địa phương đã chủ động thực hiện phân cấp giải quyết 527 TTHC theo thẩm quyền trên các lĩnh vực như: Giao thông vận tải, tài nguyên và môi trường, nông nghiệp và phát triển nông thôn, nội vụ, văn hóa, thể thao và du lịch.... </w:t>
      </w:r>
    </w:p>
    <w:p w:rsidR="00F51789" w:rsidRPr="007721C0" w:rsidRDefault="00F51789" w:rsidP="00F51789">
      <w:pPr>
        <w:widowControl w:val="0"/>
        <w:tabs>
          <w:tab w:val="left" w:pos="851"/>
        </w:tabs>
        <w:spacing w:before="100" w:after="100"/>
        <w:ind w:firstLine="709"/>
        <w:jc w:val="both"/>
      </w:pPr>
      <w:r w:rsidRPr="007721C0">
        <w:t>Việc thực thi các phương án phân cấp đã mang lại hiệu quả trong giải quyết TTHC</w:t>
      </w:r>
      <w:r w:rsidRPr="007721C0">
        <w:rPr>
          <w:shd w:val="clear" w:color="auto" w:fill="FFFFFF"/>
          <w:lang w:val="vi-VN"/>
        </w:rPr>
        <w:t>, giúp giảm bớt tầng nấc, khâu trung gian, các cơ quan cấp trên được giảm bớt công việc sự vụ, tập trung vào xây dựng và hoạch định chính sách; giảm thời gian người dân, doanh nghiệp đi lại, nộp hồ sơ và nhận kết quả khi TTHC được phân cấp từ Trung ương về tỉnh, từ tỉnh về huyện, từ huyện về xã.</w:t>
      </w:r>
    </w:p>
    <w:p w:rsidR="00F51789" w:rsidRPr="007721C0" w:rsidRDefault="00F51789" w:rsidP="00F51789">
      <w:pPr>
        <w:tabs>
          <w:tab w:val="left" w:pos="993"/>
        </w:tabs>
        <w:spacing w:before="100" w:after="100"/>
        <w:ind w:firstLine="720"/>
        <w:jc w:val="both"/>
        <w:rPr>
          <w:b/>
          <w:iCs/>
        </w:rPr>
      </w:pPr>
      <w:r w:rsidRPr="007721C0">
        <w:rPr>
          <w:b/>
          <w:iCs/>
        </w:rPr>
        <w:t xml:space="preserve">c) </w:t>
      </w:r>
      <w:r w:rsidRPr="007721C0">
        <w:rPr>
          <w:b/>
          <w:lang w:val="vi-VN"/>
        </w:rPr>
        <w:t>Về</w:t>
      </w:r>
      <w:r w:rsidRPr="007721C0">
        <w:rPr>
          <w:rFonts w:eastAsia="Calibri"/>
          <w:b/>
        </w:rPr>
        <w:t xml:space="preserve"> đơn giản hóa TTHC nội bộ</w:t>
      </w:r>
      <w:r w:rsidRPr="007721C0">
        <w:rPr>
          <w:rFonts w:eastAsia="Calibri"/>
          <w:lang w:val="vi-VN"/>
        </w:rPr>
        <w:t>:</w:t>
      </w:r>
    </w:p>
    <w:p w:rsidR="00F51789" w:rsidRPr="007721C0" w:rsidRDefault="00F51789" w:rsidP="00F51789">
      <w:pPr>
        <w:spacing w:before="100" w:after="100"/>
        <w:ind w:firstLine="720"/>
        <w:jc w:val="both"/>
        <w:rPr>
          <w:lang w:val="en-US"/>
        </w:rPr>
      </w:pPr>
      <w:r w:rsidRPr="007721C0">
        <w:rPr>
          <w:rFonts w:eastAsia="Calibri"/>
          <w:lang w:val="vi-VN"/>
        </w:rPr>
        <w:t xml:space="preserve">Triển khai </w:t>
      </w:r>
      <w:r w:rsidRPr="007721C0">
        <w:rPr>
          <w:lang w:val="vi-VN"/>
        </w:rPr>
        <w:t>Kế hoạch rà soát, đơn giản hóa TTHC nội bộ trong hệ thống hành chính nhà nước giai đoạn 2022</w:t>
      </w:r>
      <w:r w:rsidRPr="007721C0">
        <w:t xml:space="preserve"> - </w:t>
      </w:r>
      <w:r w:rsidRPr="007721C0">
        <w:rPr>
          <w:lang w:val="vi-VN"/>
        </w:rPr>
        <w:t>2025</w:t>
      </w:r>
      <w:r w:rsidRPr="007721C0">
        <w:rPr>
          <w:rStyle w:val="FootnoteReference"/>
          <w:lang w:val="vi-VN"/>
        </w:rPr>
        <w:footnoteReference w:id="8"/>
      </w:r>
      <w:r w:rsidRPr="007721C0">
        <w:rPr>
          <w:lang w:val="vi-VN"/>
        </w:rPr>
        <w:t xml:space="preserve">, </w:t>
      </w:r>
      <w:r w:rsidRPr="007721C0">
        <w:rPr>
          <w:rFonts w:eastAsia="Calibri"/>
          <w:lang w:val="vi-VN"/>
        </w:rPr>
        <w:t xml:space="preserve">đến nay, </w:t>
      </w:r>
      <w:r w:rsidRPr="007721C0">
        <w:t xml:space="preserve">các bộ, cơ quan đã trình Thủ tướng Chính phủ phê duyệt phương án đơn giản hóa 40 TTHC nội bộ và phê duyệt theo thẩm quyền phương án đơn giản hóa 151 TTHC nội bộ </w:t>
      </w:r>
      <w:r w:rsidRPr="007721C0">
        <w:rPr>
          <w:i/>
        </w:rPr>
        <w:t>(bãi bỏ 25 TTHC, sửa đổi bổ sung 166 TTHC)</w:t>
      </w:r>
      <w:r w:rsidRPr="007721C0">
        <w:t xml:space="preserve">; các địa phương đã phê duyệt phương án đơn giản hóa 861 TTHC nội bộ </w:t>
      </w:r>
      <w:r w:rsidRPr="007721C0">
        <w:rPr>
          <w:i/>
        </w:rPr>
        <w:t>(bãi bỏ 97 TTHC, sửa đổi bổ sung 764 TTHC).</w:t>
      </w:r>
      <w:r w:rsidRPr="007721C0">
        <w:rPr>
          <w:lang w:val="en-US"/>
        </w:rPr>
        <w:t xml:space="preserve"> Các bộ, ngành đang tiếp tục rà soát, hoàn thiện phương án đơn giản hóa trên một số lĩnh vực </w:t>
      </w:r>
      <w:r w:rsidRPr="007721C0">
        <w:rPr>
          <w:i/>
          <w:lang w:val="en-US"/>
        </w:rPr>
        <w:t>(Công Thương, Nông nghiệp và Phát triển nông thôn, Quốc phòng…);</w:t>
      </w:r>
      <w:r w:rsidRPr="007721C0">
        <w:rPr>
          <w:lang w:val="en-US"/>
        </w:rPr>
        <w:t xml:space="preserve"> n</w:t>
      </w:r>
      <w:r w:rsidRPr="007721C0">
        <w:rPr>
          <w:lang w:val="vi-VN"/>
        </w:rPr>
        <w:t xml:space="preserve">hiều địa phương </w:t>
      </w:r>
      <w:r w:rsidRPr="007721C0">
        <w:rPr>
          <w:i/>
          <w:lang w:val="en-US"/>
        </w:rPr>
        <w:t>(</w:t>
      </w:r>
      <w:r w:rsidRPr="007721C0">
        <w:rPr>
          <w:i/>
          <w:lang w:val="vi-VN"/>
        </w:rPr>
        <w:t>Hà Nội, Bắc Giang, Ninh Thuận...</w:t>
      </w:r>
      <w:r w:rsidRPr="007721C0">
        <w:rPr>
          <w:i/>
          <w:lang w:val="en-US"/>
        </w:rPr>
        <w:t>)</w:t>
      </w:r>
      <w:r w:rsidRPr="007721C0">
        <w:rPr>
          <w:lang w:val="en-US"/>
        </w:rPr>
        <w:t xml:space="preserve"> </w:t>
      </w:r>
      <w:r w:rsidRPr="007721C0">
        <w:rPr>
          <w:lang w:val="vi-VN"/>
        </w:rPr>
        <w:t>tích cực trong triển khai nhiệm vụ này</w:t>
      </w:r>
      <w:r w:rsidRPr="007721C0">
        <w:rPr>
          <w:lang w:val="en-US"/>
        </w:rPr>
        <w:t>.</w:t>
      </w:r>
      <w:r w:rsidRPr="007721C0">
        <w:rPr>
          <w:lang w:val="vi-VN"/>
        </w:rPr>
        <w:t xml:space="preserve"> </w:t>
      </w:r>
    </w:p>
    <w:p w:rsidR="00F51789" w:rsidRPr="007721C0" w:rsidRDefault="00F51789" w:rsidP="00F51789">
      <w:pPr>
        <w:spacing w:before="100" w:after="100"/>
        <w:ind w:firstLine="720"/>
        <w:jc w:val="both"/>
        <w:rPr>
          <w:lang w:val="en-US"/>
        </w:rPr>
      </w:pPr>
      <w:r w:rsidRPr="007721C0">
        <w:rPr>
          <w:color w:val="000000"/>
        </w:rPr>
        <w:t>Việc đơn giản hóa TTHC nội bộ góp phần phân định rõ trách nhiệm, quyền hạn của các cơ quan trong thực thi công vụ, nâng cao năng suất, chất lượng và hiệu quả hoạt động, tăng cường công tác phối hợp, bảo đảm công khai, minh bạch, trách nhiệm giải trình của cán bộ, công chức</w:t>
      </w:r>
      <w:r w:rsidRPr="007721C0">
        <w:rPr>
          <w:color w:val="000000"/>
          <w:lang w:val="en-US"/>
        </w:rPr>
        <w:t>; là điều kiện tiên quyết để thúc đẩy chuyển đổi số trong nội khối hành chính.</w:t>
      </w:r>
    </w:p>
    <w:p w:rsidR="00F51789" w:rsidRPr="007721C0" w:rsidRDefault="00F51789" w:rsidP="00F51789">
      <w:pPr>
        <w:tabs>
          <w:tab w:val="left" w:pos="993"/>
        </w:tabs>
        <w:spacing w:before="100" w:after="100"/>
        <w:ind w:firstLine="720"/>
        <w:jc w:val="both"/>
        <w:rPr>
          <w:rFonts w:ascii="Times New Roman Bold" w:hAnsi="Times New Roman Bold"/>
          <w:b/>
          <w:iCs/>
          <w:spacing w:val="-6"/>
        </w:rPr>
      </w:pPr>
      <w:r w:rsidRPr="007721C0">
        <w:rPr>
          <w:rFonts w:ascii="Times New Roman Bold" w:hAnsi="Times New Roman Bold"/>
          <w:b/>
          <w:iCs/>
          <w:spacing w:val="-6"/>
        </w:rPr>
        <w:t xml:space="preserve">d) </w:t>
      </w:r>
      <w:r w:rsidRPr="007721C0">
        <w:rPr>
          <w:rFonts w:ascii="Times New Roman Bold" w:hAnsi="Times New Roman Bold"/>
          <w:b/>
          <w:iCs/>
          <w:spacing w:val="-6"/>
          <w:lang w:val="vi-VN"/>
        </w:rPr>
        <w:t xml:space="preserve">Về đơn giản hóa </w:t>
      </w:r>
      <w:r w:rsidRPr="007721C0">
        <w:rPr>
          <w:rFonts w:ascii="Times New Roman Bold" w:hAnsi="Times New Roman Bold"/>
          <w:b/>
          <w:iCs/>
          <w:spacing w:val="-6"/>
        </w:rPr>
        <w:t>TTHC, giấy tờ công dân liên quan đến quản lý dân cư</w:t>
      </w:r>
    </w:p>
    <w:p w:rsidR="00F51789" w:rsidRPr="007721C0" w:rsidRDefault="00F51789" w:rsidP="00F51789">
      <w:pPr>
        <w:spacing w:before="100" w:after="100"/>
        <w:ind w:firstLine="709"/>
        <w:jc w:val="both"/>
      </w:pPr>
      <w:r w:rsidRPr="007721C0">
        <w:t xml:space="preserve">Triển khai các Nghị quyết chuyên đề của Chính phủ </w:t>
      </w:r>
      <w:r w:rsidRPr="007721C0" w:rsidDel="0067281D">
        <w:t>về đơn giản hóa TTHC, giấy tờ công dân liên quan đến quản lý dân cư</w:t>
      </w:r>
      <w:r w:rsidRPr="007721C0">
        <w:t xml:space="preserve"> và Đề án phát triển ứng dụng dữ liệu về dân cư, định danh và xác thực điện tử phục vụ chuyển đổi số quốc gia giai </w:t>
      </w:r>
      <w:r w:rsidRPr="007721C0">
        <w:lastRenderedPageBreak/>
        <w:t>đoạn 2022 - 2025, tầm nhìn đến năm 2030 (</w:t>
      </w:r>
      <w:r w:rsidR="00744B04">
        <w:t xml:space="preserve">sau đây </w:t>
      </w:r>
      <w:r w:rsidRPr="007721C0">
        <w:t>gọi tắt là Đề án 06), trong 6 tháng đầu năm 2024, các bộ, ngành đã đơn giản hóa 247 TTHC, giấy tờ công dân tại 25 VBQPP</w:t>
      </w:r>
      <w:r w:rsidR="00B35F3C" w:rsidRPr="007721C0">
        <w:t>L</w:t>
      </w:r>
      <w:r w:rsidRPr="007721C0">
        <w:rPr>
          <w:rStyle w:val="FootnoteReference"/>
        </w:rPr>
        <w:footnoteReference w:id="9"/>
      </w:r>
      <w:r w:rsidRPr="007721C0">
        <w:t>, nâng tổng số TTHC, giấy tờ công dân được đơn giản hóa đến nay là 828 TTHC, đạt 76%;</w:t>
      </w:r>
      <w:r w:rsidRPr="007721C0">
        <w:rPr>
          <w:i/>
        </w:rPr>
        <w:t xml:space="preserve"> </w:t>
      </w:r>
      <w:r w:rsidRPr="007721C0">
        <w:t>có</w:t>
      </w:r>
      <w:r w:rsidRPr="007721C0">
        <w:rPr>
          <w:i/>
        </w:rPr>
        <w:t xml:space="preserve"> </w:t>
      </w:r>
      <w:r w:rsidRPr="007721C0">
        <w:t>07 bộ, cơ quan</w:t>
      </w:r>
      <w:r w:rsidRPr="007721C0">
        <w:rPr>
          <w:rStyle w:val="FootnoteReference"/>
        </w:rPr>
        <w:footnoteReference w:id="10"/>
      </w:r>
      <w:r w:rsidRPr="007721C0">
        <w:t xml:space="preserve"> hoàn thành thực hiện 100% phương án đơn giản hóa; </w:t>
      </w:r>
      <w:r w:rsidR="002C51B6" w:rsidRPr="007721C0">
        <w:t xml:space="preserve">10 </w:t>
      </w:r>
      <w:r w:rsidRPr="007721C0">
        <w:t xml:space="preserve">bộ, cơ quan đạt trên 50%; </w:t>
      </w:r>
      <w:r w:rsidR="002C51B6" w:rsidRPr="007721C0">
        <w:t xml:space="preserve">02 </w:t>
      </w:r>
      <w:r w:rsidRPr="007721C0">
        <w:t xml:space="preserve">bộ đạt dưới 50%. Còn 256 TTHC cần tiếp tục đơn giản hóa tại </w:t>
      </w:r>
      <w:r w:rsidR="00B35F3C" w:rsidRPr="007721C0">
        <w:t xml:space="preserve">01 </w:t>
      </w:r>
      <w:r w:rsidRPr="007721C0">
        <w:t>Luật, 17 Nghị định, 10 Thông tư liên tịch và 22 Thông tư. Thủ tướng Chính phủ đã ban hành Chỉ thị số 04/CT-TTg ngày 11 tháng 02 năm 2024 về tiếp tục đẩy mạnh triển khai Đề án 06 và tổ chức Hội nghị sơ kết 01 năm triển khai công văn số 452/TTg-KSTT về tháo gỡ điểm nghẽn trong triển khai Đề án 06.</w:t>
      </w:r>
    </w:p>
    <w:p w:rsidR="00F51789" w:rsidRPr="007721C0" w:rsidRDefault="00F51789" w:rsidP="00F51789">
      <w:pPr>
        <w:shd w:val="clear" w:color="auto" w:fill="FFFFFF"/>
        <w:spacing w:before="100" w:after="100"/>
        <w:ind w:firstLine="709"/>
        <w:jc w:val="both"/>
      </w:pPr>
      <w:r w:rsidRPr="007721C0">
        <w:rPr>
          <w:lang w:val="vi-VN"/>
        </w:rPr>
        <w:t>Thông qua việc tích hợp, giảm bớt yêu cầu cung cấp các giấy tờ, thông tin trong quá trình thực hiện TTHC và đẩy mạnh khai thác, tái sử dụng dữ liệu cơ quan nhà nước đã quản lý, các TTHC liên quan đến quản lý dân cư được đơn giản hóa và mang lại những lợi ích thiết thực đối với người dân, doanh nghiệp, giúp cắt giảm chi phí, thời gian thực hiện thủ tục và đẩy nhanh quá trình chuyển đổi số trong hoạt động hành chính của các cơ quan nhà nước</w:t>
      </w:r>
      <w:r w:rsidRPr="007721C0">
        <w:t>.</w:t>
      </w:r>
    </w:p>
    <w:p w:rsidR="00F51789" w:rsidRPr="007721C0" w:rsidRDefault="00F51789" w:rsidP="00F51789">
      <w:pPr>
        <w:shd w:val="clear" w:color="auto" w:fill="FFFFFF"/>
        <w:spacing w:before="100" w:after="100"/>
        <w:ind w:firstLine="709"/>
        <w:jc w:val="both"/>
        <w:rPr>
          <w:b/>
          <w:lang w:val="en-US"/>
        </w:rPr>
      </w:pPr>
      <w:r w:rsidRPr="007721C0">
        <w:rPr>
          <w:b/>
          <w:lang w:val="en-US"/>
        </w:rPr>
        <w:t>2. Cải cách việc thực hiện TTHC</w:t>
      </w:r>
    </w:p>
    <w:p w:rsidR="00F644D7" w:rsidRPr="007721C0" w:rsidRDefault="00F51789" w:rsidP="00F51789">
      <w:pPr>
        <w:spacing w:before="100" w:after="100"/>
        <w:ind w:firstLine="709"/>
        <w:jc w:val="both"/>
        <w:rPr>
          <w:rFonts w:eastAsia="Arial"/>
        </w:rPr>
      </w:pPr>
      <w:bookmarkStart w:id="3" w:name="_Hlk164157930"/>
      <w:r w:rsidRPr="007721C0">
        <w:t xml:space="preserve">Chính phủ đã ban hành Nghị định số </w:t>
      </w:r>
      <w:r w:rsidRPr="007721C0">
        <w:rPr>
          <w:shd w:val="clear" w:color="auto" w:fill="FFFFFF"/>
        </w:rPr>
        <w:t xml:space="preserve">63/2024/NĐ-CP ngày 10 tháng 6 năm 2024 </w:t>
      </w:r>
      <w:r w:rsidRPr="007721C0">
        <w:t>quy định việc thực hiện liên thông điện tử 02 nhóm TTHC: đăng ký khai sinh, đăng ký thường trú, cấp thẻ bảo hiểm y tế cho trẻ em dưới 6 tuổi; đăng ký khai tử, xóa đăng ký thường trú, giải quyết mai táng phí, tử tuất</w:t>
      </w:r>
      <w:r w:rsidRPr="007721C0">
        <w:rPr>
          <w:b/>
        </w:rPr>
        <w:t xml:space="preserve"> </w:t>
      </w:r>
      <w:r w:rsidRPr="007721C0">
        <w:t xml:space="preserve">nhằm tạo điều kiện thuận lợi cho người dân trong thực hiện TTHC. </w:t>
      </w:r>
      <w:r w:rsidRPr="007721C0">
        <w:rPr>
          <w:lang w:val="en-US"/>
        </w:rPr>
        <w:t>Bộ phận Một cửa</w:t>
      </w:r>
      <w:r w:rsidRPr="007721C0">
        <w:rPr>
          <w:rFonts w:eastAsia="Arial"/>
        </w:rPr>
        <w:t xml:space="preserve"> của nhiều bộ, ngành, địa phương đã được quan tâm đầu tư, nâng cấp và chủ động đổi mới mô hình, nâng cao chất lượng hoạt động</w:t>
      </w:r>
      <w:r w:rsidRPr="007721C0">
        <w:rPr>
          <w:rStyle w:val="FootnoteReference"/>
          <w:rFonts w:eastAsia="Arial"/>
        </w:rPr>
        <w:footnoteReference w:id="11"/>
      </w:r>
      <w:r w:rsidRPr="007721C0">
        <w:rPr>
          <w:rFonts w:eastAsia="Arial"/>
        </w:rPr>
        <w:t xml:space="preserve">. </w:t>
      </w:r>
    </w:p>
    <w:p w:rsidR="00F644D7" w:rsidRPr="007721C0" w:rsidRDefault="00F51789" w:rsidP="00F51789">
      <w:pPr>
        <w:spacing w:before="100" w:after="100"/>
        <w:ind w:firstLine="709"/>
        <w:jc w:val="both"/>
        <w:rPr>
          <w:lang w:val="en-US"/>
        </w:rPr>
      </w:pPr>
      <w:r w:rsidRPr="007721C0">
        <w:t xml:space="preserve">Việc cung cấp dịch vụ công trực tuyến trong 6 tháng đầu năm 2024 có sự cải thiện rõ rệt với hơn 13,9 triệu hồ sơ trực tuyến thực hiện từ Cổng Dịch vụ công quốc gia; hơn 7,4 triệu giao dịch thanh toán trực tuyến với số tiền hơn 4.620 tỷ đồng. Tỷ lệ hồ sơ trực tuyến của bộ, ngành đạt 46,16% trong tổng số hồ sơ TTHC </w:t>
      </w:r>
      <w:r w:rsidRPr="007721C0">
        <w:rPr>
          <w:i/>
        </w:rPr>
        <w:t>(tăng 19,56% so với cùng kỳ năm 2023)</w:t>
      </w:r>
      <w:r w:rsidRPr="007721C0">
        <w:t xml:space="preserve">, địa phương đạt 51,55% trong tổng số hồ TTHC </w:t>
      </w:r>
      <w:r w:rsidRPr="007721C0">
        <w:rPr>
          <w:i/>
        </w:rPr>
        <w:t>(tăng 19,62% so với cùng kỳ năm 2023)</w:t>
      </w:r>
      <w:r w:rsidRPr="007721C0">
        <w:t xml:space="preserve">; tỷ lệ số hóa kết quả giải quyết TTHC tại bộ, ngành là 46,36% </w:t>
      </w:r>
      <w:r w:rsidRPr="007721C0">
        <w:rPr>
          <w:i/>
        </w:rPr>
        <w:t>(tăng 22,14% so với cùng kỳ năm 2023)</w:t>
      </w:r>
      <w:r w:rsidRPr="007721C0">
        <w:t xml:space="preserve"> và địa phương là 58,12% </w:t>
      </w:r>
      <w:r w:rsidRPr="007721C0">
        <w:rPr>
          <w:i/>
        </w:rPr>
        <w:t>(tăng 14,56% so cùng kỳ năm 2023).</w:t>
      </w:r>
      <w:r w:rsidRPr="007721C0">
        <w:rPr>
          <w:shd w:val="clear" w:color="auto" w:fill="FFFFFF"/>
          <w:lang w:val="en-US"/>
        </w:rPr>
        <w:t xml:space="preserve"> Tỷ lệ hồ sơ cấp kết quả bản điện tử có giá trị pháp lý để tái sử dụng tại bộ, ngành đạt 46,38% </w:t>
      </w:r>
      <w:r w:rsidRPr="007721C0">
        <w:rPr>
          <w:i/>
          <w:shd w:val="clear" w:color="auto" w:fill="FFFFFF"/>
          <w:lang w:val="en-US"/>
        </w:rPr>
        <w:t>(tăng 22,14% so với cùng kỳ năm 2023)</w:t>
      </w:r>
      <w:r w:rsidRPr="007721C0">
        <w:rPr>
          <w:shd w:val="clear" w:color="auto" w:fill="FFFFFF"/>
          <w:lang w:val="en-US"/>
        </w:rPr>
        <w:t xml:space="preserve">, tại địa phương đạt 64% </w:t>
      </w:r>
      <w:r w:rsidRPr="007721C0">
        <w:rPr>
          <w:i/>
          <w:shd w:val="clear" w:color="auto" w:fill="FFFFFF"/>
          <w:lang w:val="en-US"/>
        </w:rPr>
        <w:t>(tăng hơn 24,46% so với cùng kỳ năm 2023).</w:t>
      </w:r>
      <w:r w:rsidRPr="007721C0">
        <w:rPr>
          <w:lang w:val="en-US"/>
        </w:rPr>
        <w:t xml:space="preserve"> </w:t>
      </w:r>
      <w:r w:rsidR="00F644D7" w:rsidRPr="007721C0">
        <w:t>Việc đẩy mạnh cải cách TTHC cấp Phiếu lý lịch tư pháp tạo điều kiện thuận lợi cho người dân, doanh nghiệp đã được triển khai thực hiện thông qua triển khai thí điểm cấp Phiếu lý lịch tư pháp trên ứng dụng VneID tại Hà Nội và Thừa Thiên Huế từ ngày 22</w:t>
      </w:r>
      <w:r w:rsidR="00CA7D76" w:rsidRPr="007721C0">
        <w:t xml:space="preserve"> tháng </w:t>
      </w:r>
      <w:r w:rsidR="00F644D7" w:rsidRPr="007721C0">
        <w:t>4</w:t>
      </w:r>
      <w:r w:rsidR="00CA7D76" w:rsidRPr="007721C0">
        <w:t xml:space="preserve"> năm </w:t>
      </w:r>
      <w:r w:rsidR="00F644D7" w:rsidRPr="007721C0">
        <w:t>2024</w:t>
      </w:r>
      <w:r w:rsidR="00DC7971" w:rsidRPr="007721C0">
        <w:rPr>
          <w:rStyle w:val="FootnoteReference"/>
        </w:rPr>
        <w:footnoteReference w:id="12"/>
      </w:r>
      <w:r w:rsidR="00F644D7" w:rsidRPr="007721C0">
        <w:t>.</w:t>
      </w:r>
    </w:p>
    <w:p w:rsidR="00F51789" w:rsidRPr="007721C0" w:rsidRDefault="007721C0" w:rsidP="00F51789">
      <w:pPr>
        <w:spacing w:before="100" w:after="100"/>
        <w:ind w:firstLine="709"/>
        <w:jc w:val="both"/>
        <w:rPr>
          <w:lang w:val="en-US"/>
        </w:rPr>
      </w:pPr>
      <w:r w:rsidRPr="007721C0">
        <w:rPr>
          <w:rFonts w:eastAsia="Arial"/>
          <w:lang w:val="en-US"/>
        </w:rPr>
        <w:lastRenderedPageBreak/>
        <w:t>C</w:t>
      </w:r>
      <w:r w:rsidR="00F51789" w:rsidRPr="007721C0">
        <w:rPr>
          <w:rFonts w:eastAsia="Arial"/>
          <w:lang w:val="en-US"/>
        </w:rPr>
        <w:t xml:space="preserve">ác bộ, ngành, địa phương đã </w:t>
      </w:r>
      <w:r w:rsidR="00F51789" w:rsidRPr="007721C0">
        <w:rPr>
          <w:rFonts w:eastAsia="Arial"/>
        </w:rPr>
        <w:t xml:space="preserve">căn cứ vào kết quả </w:t>
      </w:r>
      <w:r w:rsidR="00F51789" w:rsidRPr="007721C0">
        <w:t xml:space="preserve">Bộ chỉ số </w:t>
      </w:r>
      <w:r w:rsidR="00F51789" w:rsidRPr="007721C0">
        <w:rPr>
          <w:rFonts w:eastAsia="Arial"/>
          <w:lang w:val="en-US"/>
        </w:rPr>
        <w:t>đánh giá chất lượng phục vụ người dân, doanh nghiệp trong thực hiện TTHC, dịch vụ công theo thời gian thực trên môi trường điện tử</w:t>
      </w:r>
      <w:r w:rsidR="00F51789" w:rsidRPr="007721C0">
        <w:rPr>
          <w:rStyle w:val="FootnoteReference"/>
          <w:rFonts w:eastAsia="Arial"/>
          <w:lang w:val="en-US"/>
        </w:rPr>
        <w:footnoteReference w:id="13"/>
      </w:r>
      <w:r w:rsidR="00F51789" w:rsidRPr="007721C0">
        <w:rPr>
          <w:rFonts w:eastAsia="Arial"/>
          <w:b/>
          <w:lang w:val="en-US"/>
        </w:rPr>
        <w:t xml:space="preserve"> </w:t>
      </w:r>
      <w:r w:rsidR="00F51789" w:rsidRPr="007721C0">
        <w:t xml:space="preserve">để </w:t>
      </w:r>
      <w:r w:rsidR="00F51789" w:rsidRPr="007721C0">
        <w:rPr>
          <w:rFonts w:eastAsia="Arial"/>
        </w:rPr>
        <w:t>thường xuyên đánh giá chất lượng thực hiện, qua đó giúp tăng cường kỷ luật, kỷ cương hành chính và trách nhiệm giải trình của cơ quan nhà nước trong giải quyết TTHC cho người dân, doanh nghiệp</w:t>
      </w:r>
      <w:r w:rsidR="00F51789" w:rsidRPr="007721C0">
        <w:rPr>
          <w:i/>
          <w:shd w:val="clear" w:color="auto" w:fill="FFFFFF"/>
        </w:rPr>
        <w:t>.</w:t>
      </w:r>
    </w:p>
    <w:p w:rsidR="00F51789" w:rsidRPr="007721C0" w:rsidRDefault="00F51789" w:rsidP="00F51789">
      <w:pPr>
        <w:tabs>
          <w:tab w:val="left" w:pos="1134"/>
        </w:tabs>
        <w:spacing w:before="100" w:after="100"/>
        <w:ind w:firstLine="709"/>
        <w:jc w:val="both"/>
        <w:rPr>
          <w:shd w:val="clear" w:color="auto" w:fill="FFFFFF"/>
        </w:rPr>
      </w:pPr>
      <w:r w:rsidRPr="007721C0">
        <w:rPr>
          <w:rFonts w:eastAsia="Arial"/>
        </w:rPr>
        <w:t>Để tiếp tục đổi mới tạo thuận lợi tối đa cho người dân, doanh nghiệp trong thực hiện TTHC, trên cơ sở nghiên cứu, đề xuất của Văn phòng Chính phủ và các bộ, địa phương liên quan, Chính phủ đã đồng ý tổ chức triển khai thí điểm Mô hình Trung tâm phục vụ hành chính công một cấp trực thuộc Ủy ban nhân dân cấp tỉnh (Hà Nội, Tp Hồ Chí Minh, Bình Dương, Quảng Ninh) là cơ quan hành chính có chức năng tiếp nhận, giải quyết và kiểm soát, theo dõi, đánh giá thực hiện TTHC, cung cấp dịch vụ công trên địa bàn tỉnh, thành phố trực thuộc trung ương theo cơ chế một cửa, một cửa liên thông, thời gian thí điểm từ tháng 9 năm 2024 đến ngày 30 tháng 11 năm 2025; báo cáo Thủ tướng Chính phủ trước ngày 10 tháng 12 năm 2025 và Tổ công tác chỉ đạo, đôn đốc việc thực hiện.</w:t>
      </w:r>
    </w:p>
    <w:bookmarkEnd w:id="3"/>
    <w:p w:rsidR="00F51789" w:rsidRPr="007721C0" w:rsidRDefault="00F51789" w:rsidP="00F51789">
      <w:pPr>
        <w:tabs>
          <w:tab w:val="left" w:pos="993"/>
        </w:tabs>
        <w:spacing w:before="100" w:after="100"/>
        <w:ind w:firstLine="720"/>
        <w:jc w:val="both"/>
        <w:rPr>
          <w:lang w:val="en-US"/>
        </w:rPr>
      </w:pPr>
      <w:r w:rsidRPr="007721C0">
        <w:t>Bên cạnh đó, việc lắng nghe, tiếp nhận</w:t>
      </w:r>
      <w:r w:rsidR="007721C0" w:rsidRPr="007721C0">
        <w:t>, xử lý</w:t>
      </w:r>
      <w:r w:rsidRPr="007721C0">
        <w:t xml:space="preserve"> phản ánh, kiến nghị </w:t>
      </w:r>
      <w:r w:rsidR="00B35F3C" w:rsidRPr="007721C0">
        <w:t xml:space="preserve">(PAKN) </w:t>
      </w:r>
      <w:r w:rsidRPr="007721C0">
        <w:t>của người dân, doanh nghiệp đã được Chính phủ, Thủ tướng Chính phủ tiếp tục chỉ đạo các bộ, ngành, địa phương tích cực, chủ động triển khai thông qua nhiều hình thức để nắm bắt và tháo gỡ khó khăn, vướng mắc về cơ chế, chính sách, TTHC. Trong 6 tháng đầu năm 2024, các bộ, ngành, địa phương đã tiếp nhận tổng số gần 55</w:t>
      </w:r>
      <w:r w:rsidRPr="007721C0">
        <w:rPr>
          <w:lang w:val="en-US"/>
        </w:rPr>
        <w:t xml:space="preserve"> nghìn</w:t>
      </w:r>
      <w:r w:rsidRPr="007721C0">
        <w:rPr>
          <w:lang w:val="vi-VN"/>
        </w:rPr>
        <w:t xml:space="preserve"> </w:t>
      </w:r>
      <w:r w:rsidRPr="007721C0">
        <w:t xml:space="preserve">PAKN của người dân về quy định và hành vi hành chính; đã xem xét, xử lý gần 37 nghìn PAKN, đạt </w:t>
      </w:r>
      <w:r w:rsidRPr="007721C0">
        <w:rPr>
          <w:lang w:val="en-US"/>
        </w:rPr>
        <w:t>hơn 67%.</w:t>
      </w:r>
      <w:bookmarkEnd w:id="1"/>
    </w:p>
    <w:p w:rsidR="00DB7F0D" w:rsidRPr="007721C0" w:rsidRDefault="00F51789" w:rsidP="00F51789">
      <w:pPr>
        <w:spacing w:before="100" w:after="100"/>
        <w:ind w:firstLine="709"/>
        <w:jc w:val="both"/>
        <w:rPr>
          <w:b/>
        </w:rPr>
      </w:pPr>
      <w:r w:rsidRPr="007721C0">
        <w:rPr>
          <w:b/>
        </w:rPr>
        <w:t>I</w:t>
      </w:r>
      <w:r w:rsidR="00DB7F0D" w:rsidRPr="007721C0">
        <w:rPr>
          <w:b/>
        </w:rPr>
        <w:t>I.</w:t>
      </w:r>
      <w:r w:rsidRPr="007721C0">
        <w:rPr>
          <w:b/>
        </w:rPr>
        <w:t xml:space="preserve"> </w:t>
      </w:r>
      <w:r w:rsidRPr="007721C0">
        <w:rPr>
          <w:b/>
          <w:lang w:val="de-DE"/>
        </w:rPr>
        <w:t>HOẠT ĐỘNG CỦA TỔ CÔNG TÁC VÀ HỘI ĐỒNG TƯ VẤN</w:t>
      </w:r>
    </w:p>
    <w:p w:rsidR="00DB7F0D" w:rsidRPr="007721C0" w:rsidRDefault="00DB7F0D" w:rsidP="00F51789">
      <w:pPr>
        <w:shd w:val="clear" w:color="auto" w:fill="FFFFFF"/>
        <w:spacing w:before="100" w:after="100"/>
        <w:ind w:firstLine="709"/>
        <w:jc w:val="both"/>
        <w:rPr>
          <w:b/>
          <w:lang w:val="en-US"/>
        </w:rPr>
      </w:pPr>
      <w:r w:rsidRPr="007721C0">
        <w:rPr>
          <w:b/>
          <w:lang w:val="en-US"/>
        </w:rPr>
        <w:t xml:space="preserve">1. Tổ công tác cải cách </w:t>
      </w:r>
      <w:r w:rsidR="009E69C1" w:rsidRPr="007721C0">
        <w:rPr>
          <w:b/>
          <w:lang w:val="en-US"/>
        </w:rPr>
        <w:t>TTHC</w:t>
      </w:r>
      <w:r w:rsidRPr="007721C0">
        <w:rPr>
          <w:b/>
          <w:lang w:val="en-US"/>
        </w:rPr>
        <w:t xml:space="preserve"> của Thủ tướng Chính phủ</w:t>
      </w:r>
      <w:r w:rsidR="00395F52" w:rsidRPr="007721C0">
        <w:rPr>
          <w:b/>
          <w:lang w:val="en-US"/>
        </w:rPr>
        <w:t xml:space="preserve"> </w:t>
      </w:r>
    </w:p>
    <w:p w:rsidR="00DB7F0D" w:rsidRPr="007721C0" w:rsidRDefault="00DB7F0D" w:rsidP="00F51789">
      <w:pPr>
        <w:shd w:val="clear" w:color="auto" w:fill="FFFFFF"/>
        <w:spacing w:before="100" w:after="100"/>
        <w:ind w:firstLine="709"/>
        <w:jc w:val="both"/>
        <w:rPr>
          <w:b/>
          <w:lang w:val="en-US"/>
        </w:rPr>
      </w:pPr>
      <w:r w:rsidRPr="007721C0">
        <w:rPr>
          <w:b/>
          <w:lang w:val="en-US"/>
        </w:rPr>
        <w:t>a) Kết quả đạt được</w:t>
      </w:r>
    </w:p>
    <w:p w:rsidR="00CF2D19" w:rsidRPr="007721C0" w:rsidRDefault="00DB7F0D" w:rsidP="00F51789">
      <w:pPr>
        <w:shd w:val="clear" w:color="auto" w:fill="FFFFFF"/>
        <w:spacing w:before="100" w:after="100"/>
        <w:ind w:firstLine="709"/>
        <w:jc w:val="both"/>
        <w:rPr>
          <w:i/>
          <w:iCs/>
          <w:lang w:val="en-US"/>
        </w:rPr>
      </w:pPr>
      <w:r w:rsidRPr="007721C0">
        <w:rPr>
          <w:i/>
          <w:iCs/>
          <w:lang w:val="en-US"/>
        </w:rPr>
        <w:t>(1) Các hoạt động chung</w:t>
      </w:r>
    </w:p>
    <w:p w:rsidR="00DB7F0D" w:rsidRPr="007721C0" w:rsidRDefault="00DB7F0D" w:rsidP="00F51789">
      <w:pPr>
        <w:spacing w:before="100" w:after="100"/>
        <w:ind w:firstLine="709"/>
        <w:jc w:val="both"/>
      </w:pPr>
      <w:r w:rsidRPr="007721C0">
        <w:t xml:space="preserve">Để </w:t>
      </w:r>
      <w:r w:rsidR="00CF2D19" w:rsidRPr="007721C0">
        <w:t xml:space="preserve">phát huy vai trò, chức năng, nhiệm vụ của Tổ công tác trong việc </w:t>
      </w:r>
      <w:r w:rsidRPr="007721C0">
        <w:t>thúc đẩy triển khai</w:t>
      </w:r>
      <w:r w:rsidR="00CF2D19" w:rsidRPr="007721C0">
        <w:t xml:space="preserve"> công tác</w:t>
      </w:r>
      <w:r w:rsidRPr="007721C0">
        <w:t xml:space="preserve"> cải cách TTHC tại các bộ, ngành, địa phương</w:t>
      </w:r>
      <w:r w:rsidR="00744B04">
        <w:t xml:space="preserve"> và </w:t>
      </w:r>
      <w:r w:rsidR="00744B04" w:rsidRPr="007721C0">
        <w:t xml:space="preserve">tháo gỡ </w:t>
      </w:r>
      <w:r w:rsidR="00744B04">
        <w:t xml:space="preserve">các </w:t>
      </w:r>
      <w:r w:rsidR="00744B04" w:rsidRPr="007721C0">
        <w:t>điểm nghẽn, khó khăn, vướng mắc về cơ chế, chính sách, TTHC</w:t>
      </w:r>
      <w:r w:rsidRPr="007721C0">
        <w:t xml:space="preserve">, </w:t>
      </w:r>
      <w:r w:rsidR="00CF2D19" w:rsidRPr="007721C0">
        <w:t xml:space="preserve">bảo đảm hoàn thành các mục tiêu, chỉ tiêu trong năm 2024 theo các văn bản, chương trình, kế hoạch, đề án đã được Chính phủ, Thủ tướng Chính phủ ban hành, </w:t>
      </w:r>
      <w:r w:rsidR="00BC6BE4" w:rsidRPr="007721C0">
        <w:t>Tổ trưởng Tổ công tác đã ban hành Kế hoạch hoạt động năm 2024</w:t>
      </w:r>
      <w:r w:rsidR="00BC6BE4" w:rsidRPr="007721C0">
        <w:rPr>
          <w:rStyle w:val="FootnoteReference"/>
        </w:rPr>
        <w:footnoteReference w:id="14"/>
      </w:r>
      <w:r w:rsidR="00BC6BE4" w:rsidRPr="007721C0">
        <w:t xml:space="preserve"> với 17 nhiệm vụ trọng tâm cần triển khai, thực hiện</w:t>
      </w:r>
      <w:r w:rsidRPr="007721C0">
        <w:rPr>
          <w:lang w:val="en-US"/>
        </w:rPr>
        <w:t xml:space="preserve">. Đến nay, </w:t>
      </w:r>
      <w:r w:rsidRPr="007721C0">
        <w:t>Tổ công tác</w:t>
      </w:r>
      <w:r w:rsidR="00BC6BE4" w:rsidRPr="007721C0">
        <w:t xml:space="preserve"> và các thành viên Tổ công tác</w:t>
      </w:r>
      <w:r w:rsidRPr="007721C0">
        <w:t xml:space="preserve"> đã</w:t>
      </w:r>
      <w:r w:rsidRPr="007721C0">
        <w:rPr>
          <w:lang w:val="en-US"/>
        </w:rPr>
        <w:t xml:space="preserve"> </w:t>
      </w:r>
      <w:r w:rsidR="00744B04">
        <w:rPr>
          <w:lang w:val="en-US"/>
        </w:rPr>
        <w:t>chủ động</w:t>
      </w:r>
      <w:r w:rsidRPr="007721C0">
        <w:rPr>
          <w:lang w:val="en-US"/>
        </w:rPr>
        <w:t xml:space="preserve"> </w:t>
      </w:r>
      <w:r w:rsidR="00744B04">
        <w:rPr>
          <w:lang w:val="en-US"/>
        </w:rPr>
        <w:t>triển khai hoạt động</w:t>
      </w:r>
      <w:r w:rsidR="00744B04">
        <w:t>,</w:t>
      </w:r>
      <w:r w:rsidRPr="007721C0">
        <w:t xml:space="preserve"> đạt được một số kết quả </w:t>
      </w:r>
      <w:r w:rsidR="00744B04">
        <w:t>tích cực</w:t>
      </w:r>
      <w:r w:rsidRPr="007721C0">
        <w:t xml:space="preserve"> như sau:</w:t>
      </w:r>
    </w:p>
    <w:p w:rsidR="00DB7F0D" w:rsidRPr="007721C0" w:rsidRDefault="00DB7F0D" w:rsidP="00F51789">
      <w:pPr>
        <w:shd w:val="clear" w:color="auto" w:fill="FFFFFF"/>
        <w:spacing w:before="100" w:after="100"/>
        <w:ind w:firstLine="709"/>
        <w:jc w:val="both"/>
        <w:rPr>
          <w:lang w:eastAsia="vi-VN"/>
        </w:rPr>
      </w:pPr>
      <w:r w:rsidRPr="007721C0">
        <w:rPr>
          <w:lang w:eastAsia="vi-VN"/>
        </w:rPr>
        <w:t>- Tổ chức 0</w:t>
      </w:r>
      <w:r w:rsidR="0084681F" w:rsidRPr="007721C0">
        <w:rPr>
          <w:lang w:eastAsia="vi-VN"/>
        </w:rPr>
        <w:t>2</w:t>
      </w:r>
      <w:r w:rsidRPr="007721C0">
        <w:rPr>
          <w:lang w:eastAsia="vi-VN"/>
        </w:rPr>
        <w:t xml:space="preserve"> phiên họp</w:t>
      </w:r>
      <w:r w:rsidRPr="007721C0">
        <w:rPr>
          <w:lang w:val="en-US" w:eastAsia="vi-VN"/>
        </w:rPr>
        <w:t xml:space="preserve"> toàn thể</w:t>
      </w:r>
      <w:r w:rsidRPr="007721C0">
        <w:rPr>
          <w:rStyle w:val="FootnoteReference"/>
          <w:lang w:eastAsia="vi-VN"/>
        </w:rPr>
        <w:footnoteReference w:id="15"/>
      </w:r>
      <w:r w:rsidRPr="007721C0">
        <w:rPr>
          <w:lang w:val="en-US" w:eastAsia="vi-VN"/>
        </w:rPr>
        <w:t xml:space="preserve"> </w:t>
      </w:r>
      <w:r w:rsidRPr="007721C0">
        <w:rPr>
          <w:lang w:eastAsia="vi-VN"/>
        </w:rPr>
        <w:t>với các bộ, ngành, địa phương</w:t>
      </w:r>
      <w:r w:rsidR="0084681F" w:rsidRPr="007721C0">
        <w:rPr>
          <w:lang w:eastAsia="vi-VN"/>
        </w:rPr>
        <w:t xml:space="preserve">: </w:t>
      </w:r>
      <w:r w:rsidR="0084681F" w:rsidRPr="007721C0">
        <w:rPr>
          <w:b/>
          <w:lang w:eastAsia="vi-VN"/>
        </w:rPr>
        <w:t>(1)</w:t>
      </w:r>
      <w:r w:rsidRPr="007721C0">
        <w:rPr>
          <w:lang w:eastAsia="vi-VN"/>
        </w:rPr>
        <w:t xml:space="preserve"> </w:t>
      </w:r>
      <w:r w:rsidR="00744B04">
        <w:rPr>
          <w:lang w:eastAsia="vi-VN"/>
        </w:rPr>
        <w:t>Đ</w:t>
      </w:r>
      <w:r w:rsidRPr="007721C0">
        <w:rPr>
          <w:lang w:eastAsia="vi-VN"/>
        </w:rPr>
        <w:t>ánh giá</w:t>
      </w:r>
      <w:r w:rsidR="0084681F" w:rsidRPr="007721C0">
        <w:rPr>
          <w:lang w:eastAsia="vi-VN"/>
        </w:rPr>
        <w:t xml:space="preserve"> kết quả hoạt động năm 2023 và xác định phương hướng, nhiệm vụ trọng tâm năm 2024; </w:t>
      </w:r>
      <w:r w:rsidR="0084681F" w:rsidRPr="007721C0">
        <w:rPr>
          <w:b/>
          <w:lang w:eastAsia="vi-VN"/>
        </w:rPr>
        <w:t>(2)</w:t>
      </w:r>
      <w:r w:rsidR="0084681F" w:rsidRPr="007721C0">
        <w:rPr>
          <w:lang w:eastAsia="vi-VN"/>
        </w:rPr>
        <w:t xml:space="preserve"> Chuyên đề về</w:t>
      </w:r>
      <w:r w:rsidR="0084681F" w:rsidRPr="007721C0">
        <w:t xml:space="preserve"> </w:t>
      </w:r>
      <w:r w:rsidR="0084681F" w:rsidRPr="007721C0">
        <w:rPr>
          <w:lang w:eastAsia="vi-VN"/>
        </w:rPr>
        <w:t xml:space="preserve">giải pháp chuyển đổi sang sử dụng một loại tài khoản </w:t>
      </w:r>
      <w:r w:rsidR="0084681F" w:rsidRPr="007721C0">
        <w:rPr>
          <w:lang w:eastAsia="vi-VN"/>
        </w:rPr>
        <w:lastRenderedPageBreak/>
        <w:t>duy nhất VNeID trong thực hiện dịch vụ công trực tuyến theo Nghị định số 59/2022/NĐ-CP của Chính phủ.</w:t>
      </w:r>
    </w:p>
    <w:p w:rsidR="0084681F" w:rsidRPr="007721C0" w:rsidRDefault="00DB7F0D" w:rsidP="00F51789">
      <w:pPr>
        <w:shd w:val="clear" w:color="auto" w:fill="FFFFFF"/>
        <w:spacing w:before="100" w:after="100"/>
        <w:ind w:firstLine="709"/>
        <w:jc w:val="both"/>
        <w:rPr>
          <w:lang w:val="en-US" w:eastAsia="vi-VN"/>
        </w:rPr>
      </w:pPr>
      <w:r w:rsidRPr="007721C0">
        <w:rPr>
          <w:lang w:val="en-US" w:eastAsia="vi-VN"/>
        </w:rPr>
        <w:t xml:space="preserve">- Tổ công tác đã </w:t>
      </w:r>
      <w:r w:rsidR="002D0691">
        <w:rPr>
          <w:lang w:val="en-US" w:eastAsia="vi-VN"/>
        </w:rPr>
        <w:t xml:space="preserve">chỉ đạo và </w:t>
      </w:r>
      <w:r w:rsidR="0084681F" w:rsidRPr="007721C0">
        <w:rPr>
          <w:lang w:val="en-US" w:eastAsia="vi-VN"/>
        </w:rPr>
        <w:t xml:space="preserve">cho ý kiến về </w:t>
      </w:r>
      <w:r w:rsidR="002D0691">
        <w:rPr>
          <w:lang w:val="en-US" w:eastAsia="vi-VN"/>
        </w:rPr>
        <w:t>t</w:t>
      </w:r>
      <w:r w:rsidR="00744B04">
        <w:rPr>
          <w:lang w:val="en-US" w:eastAsia="vi-VN"/>
        </w:rPr>
        <w:t xml:space="preserve">ài liệu hướng dẫn </w:t>
      </w:r>
      <w:r w:rsidR="00744B04" w:rsidRPr="00744B04">
        <w:rPr>
          <w:lang w:val="en-US" w:eastAsia="vi-VN"/>
        </w:rPr>
        <w:t>triển khai thí điểm mô hình Trung tâm phục vụ hành chính công một cấp trực thuộc Ủy ban nhân dân cấp tỉnh tại Hà Nội, Tp Hồ Chí Minh, Bình Dương, Quảng Ninh là cơ quan hành chính có chức năng tiếp nhận, giải quyết và kiểm soát, theo dõi, đánh giá thực hiện TTHC, cung cấp dịch vụ công trên địa bàn tỉnh, thành phố trực thuộc trung ương theo cơ chế một cửa, một cửa liên thông</w:t>
      </w:r>
      <w:r w:rsidR="00AB474C" w:rsidRPr="007721C0">
        <w:rPr>
          <w:lang w:val="en-US" w:eastAsia="vi-VN"/>
        </w:rPr>
        <w:t>.</w:t>
      </w:r>
    </w:p>
    <w:p w:rsidR="00AB474C" w:rsidRPr="007721C0" w:rsidRDefault="00AB474C" w:rsidP="00F51789">
      <w:pPr>
        <w:shd w:val="clear" w:color="auto" w:fill="FFFFFF"/>
        <w:spacing w:before="100" w:after="100"/>
        <w:ind w:firstLine="709"/>
        <w:jc w:val="both"/>
      </w:pPr>
      <w:r w:rsidRPr="007721C0">
        <w:rPr>
          <w:lang w:eastAsia="vi-VN"/>
        </w:rPr>
        <w:t>-</w:t>
      </w:r>
      <w:r w:rsidRPr="007721C0">
        <w:rPr>
          <w:lang w:val="en-US" w:eastAsia="vi-VN"/>
        </w:rPr>
        <w:t xml:space="preserve"> Một số thành viên Tổ công tác đã làm việc hoặc có văn bản </w:t>
      </w:r>
      <w:r w:rsidR="00744B04">
        <w:rPr>
          <w:lang w:val="en-US" w:eastAsia="vi-VN"/>
        </w:rPr>
        <w:t>đôn đốc</w:t>
      </w:r>
      <w:r w:rsidRPr="007721C0">
        <w:rPr>
          <w:lang w:val="en-US" w:eastAsia="vi-VN"/>
        </w:rPr>
        <w:t xml:space="preserve"> các bộ, ngành, địa phương được phân công phụ trách để thúc đẩy việc triển khai</w:t>
      </w:r>
      <w:r w:rsidRPr="007721C0">
        <w:rPr>
          <w:rStyle w:val="FootnoteReference"/>
          <w:lang w:eastAsia="vi-VN"/>
        </w:rPr>
        <w:footnoteReference w:id="16"/>
      </w:r>
      <w:r w:rsidRPr="007721C0">
        <w:rPr>
          <w:lang w:val="en-US" w:eastAsia="vi-VN"/>
        </w:rPr>
        <w:t>. Đây là cách làm mới phù hợp với Quy chế hoạt động của Tổ công tác, các chỉ đạo hiện nay và yêu cầu ngày càng cao của Chính phủ, Thủ tướng Chính phủ.</w:t>
      </w:r>
    </w:p>
    <w:p w:rsidR="00DB7F0D" w:rsidRPr="007721C0" w:rsidRDefault="00DB7F0D" w:rsidP="00F51789">
      <w:pPr>
        <w:spacing w:before="100" w:after="100"/>
        <w:ind w:firstLine="709"/>
        <w:jc w:val="both"/>
        <w:rPr>
          <w:lang w:val="en-US"/>
        </w:rPr>
      </w:pPr>
      <w:r w:rsidRPr="007721C0">
        <w:rPr>
          <w:lang w:eastAsia="vi-VN"/>
        </w:rPr>
        <w:t xml:space="preserve">- </w:t>
      </w:r>
      <w:r w:rsidR="00AB474C" w:rsidRPr="007721C0">
        <w:rPr>
          <w:lang w:eastAsia="vi-VN"/>
        </w:rPr>
        <w:t xml:space="preserve">Tổ công tác đã </w:t>
      </w:r>
      <w:r w:rsidR="00AB474C" w:rsidRPr="007721C0">
        <w:rPr>
          <w:lang w:val="en-US" w:eastAsia="vi-VN"/>
        </w:rPr>
        <w:t>t</w:t>
      </w:r>
      <w:r w:rsidRPr="007721C0">
        <w:rPr>
          <w:lang w:val="en-US" w:eastAsia="vi-VN"/>
        </w:rPr>
        <w:t xml:space="preserve">iếp nhận và chỉ đạo, đề nghị các bộ, ngành, địa phương </w:t>
      </w:r>
      <w:r w:rsidRPr="007721C0">
        <w:rPr>
          <w:lang w:eastAsia="vi-VN"/>
        </w:rPr>
        <w:t>xử lý</w:t>
      </w:r>
      <w:r w:rsidRPr="007721C0">
        <w:rPr>
          <w:lang w:val="en-US" w:eastAsia="vi-VN"/>
        </w:rPr>
        <w:t xml:space="preserve"> theo thẩm quyền các</w:t>
      </w:r>
      <w:r w:rsidRPr="007721C0">
        <w:rPr>
          <w:lang w:eastAsia="vi-VN"/>
        </w:rPr>
        <w:t xml:space="preserve"> </w:t>
      </w:r>
      <w:r w:rsidR="00C835AA">
        <w:rPr>
          <w:lang w:eastAsia="vi-VN"/>
        </w:rPr>
        <w:t>PAKN</w:t>
      </w:r>
      <w:r w:rsidRPr="007721C0">
        <w:rPr>
          <w:lang w:val="en-US" w:eastAsia="vi-VN"/>
        </w:rPr>
        <w:t xml:space="preserve"> </w:t>
      </w:r>
      <w:r w:rsidRPr="007721C0">
        <w:rPr>
          <w:lang w:eastAsia="vi-VN"/>
        </w:rPr>
        <w:t xml:space="preserve">của </w:t>
      </w:r>
      <w:r w:rsidRPr="007721C0">
        <w:rPr>
          <w:lang w:val="en-US" w:eastAsia="vi-VN"/>
        </w:rPr>
        <w:t>thành viên Hội đồng tư vấn, cộng đồng</w:t>
      </w:r>
      <w:r w:rsidRPr="007721C0">
        <w:rPr>
          <w:lang w:eastAsia="vi-VN"/>
        </w:rPr>
        <w:t xml:space="preserve"> doanh nghiệp</w:t>
      </w:r>
      <w:r w:rsidRPr="007721C0">
        <w:rPr>
          <w:lang w:val="en-US" w:eastAsia="vi-VN"/>
        </w:rPr>
        <w:t>, người dân</w:t>
      </w:r>
      <w:r w:rsidRPr="007721C0">
        <w:rPr>
          <w:lang w:eastAsia="vi-VN"/>
        </w:rPr>
        <w:t xml:space="preserve"> </w:t>
      </w:r>
      <w:r w:rsidRPr="007721C0">
        <w:t>về cơ chế, chính sách, TTHC</w:t>
      </w:r>
      <w:r w:rsidRPr="007721C0">
        <w:rPr>
          <w:shd w:val="clear" w:color="auto" w:fill="FFFFFF"/>
        </w:rPr>
        <w:t xml:space="preserve"> </w:t>
      </w:r>
      <w:r w:rsidRPr="007721C0">
        <w:t xml:space="preserve">đang là rào cản cho hoạt động sản xuất, kinh doanh, </w:t>
      </w:r>
      <w:r w:rsidRPr="007721C0">
        <w:rPr>
          <w:shd w:val="clear" w:color="auto" w:fill="FFFFFF"/>
        </w:rPr>
        <w:t>đời sống của người dân</w:t>
      </w:r>
      <w:r w:rsidRPr="007721C0">
        <w:rPr>
          <w:lang w:eastAsia="vi-VN"/>
        </w:rPr>
        <w:t xml:space="preserve">. </w:t>
      </w:r>
      <w:r w:rsidR="00AB474C" w:rsidRPr="007721C0">
        <w:rPr>
          <w:lang w:eastAsia="vi-VN"/>
        </w:rPr>
        <w:t>Trong 6 tháng đầu năm 2024</w:t>
      </w:r>
      <w:r w:rsidRPr="007721C0">
        <w:t xml:space="preserve">, </w:t>
      </w:r>
      <w:r w:rsidRPr="007721C0">
        <w:rPr>
          <w:shd w:val="clear" w:color="auto" w:fill="FFFFFF"/>
        </w:rPr>
        <w:t>Tổ công tác đã tiếp nhận và chỉ đạo</w:t>
      </w:r>
      <w:r w:rsidRPr="007721C0">
        <w:rPr>
          <w:shd w:val="clear" w:color="auto" w:fill="FFFFFF"/>
          <w:lang w:val="en-US"/>
        </w:rPr>
        <w:t>, đề nghị</w:t>
      </w:r>
      <w:r w:rsidRPr="007721C0">
        <w:rPr>
          <w:shd w:val="clear" w:color="auto" w:fill="FFFFFF"/>
        </w:rPr>
        <w:t xml:space="preserve"> các bộ, ngành, địa phương xem xét, xử lý </w:t>
      </w:r>
      <w:r w:rsidR="002D7255" w:rsidRPr="007721C0">
        <w:rPr>
          <w:shd w:val="clear" w:color="auto" w:fill="FFFFFF"/>
        </w:rPr>
        <w:t xml:space="preserve">82 </w:t>
      </w:r>
      <w:r w:rsidR="00C835AA">
        <w:t>PAKN</w:t>
      </w:r>
      <w:r w:rsidRPr="007721C0">
        <w:rPr>
          <w:lang w:val="en-US"/>
        </w:rPr>
        <w:t xml:space="preserve">, </w:t>
      </w:r>
      <w:r w:rsidR="00C835AA">
        <w:rPr>
          <w:lang w:val="en-US"/>
        </w:rPr>
        <w:t>đến nay</w:t>
      </w:r>
      <w:r w:rsidRPr="007721C0">
        <w:rPr>
          <w:lang w:val="en-US"/>
        </w:rPr>
        <w:t xml:space="preserve"> </w:t>
      </w:r>
      <w:r w:rsidR="00BF5238" w:rsidRPr="007721C0">
        <w:rPr>
          <w:lang w:val="en-US"/>
        </w:rPr>
        <w:t xml:space="preserve">tất cả các </w:t>
      </w:r>
      <w:r w:rsidR="00C835AA">
        <w:rPr>
          <w:lang w:val="en-US"/>
        </w:rPr>
        <w:t>PAKN</w:t>
      </w:r>
      <w:r w:rsidRPr="007721C0">
        <w:rPr>
          <w:shd w:val="clear" w:color="auto" w:fill="FFFFFF"/>
          <w:lang w:val="en-US"/>
        </w:rPr>
        <w:t xml:space="preserve"> đã được phản hồi,</w:t>
      </w:r>
      <w:r w:rsidR="00AB474C" w:rsidRPr="007721C0">
        <w:rPr>
          <w:shd w:val="clear" w:color="auto" w:fill="FFFFFF"/>
          <w:lang w:val="en-US"/>
        </w:rPr>
        <w:t xml:space="preserve"> nâng tổng số </w:t>
      </w:r>
      <w:r w:rsidR="00C835AA">
        <w:rPr>
          <w:shd w:val="clear" w:color="auto" w:fill="FFFFFF"/>
          <w:lang w:val="en-US"/>
        </w:rPr>
        <w:t>PAKN</w:t>
      </w:r>
      <w:r w:rsidR="00AB474C" w:rsidRPr="007721C0">
        <w:rPr>
          <w:shd w:val="clear" w:color="auto" w:fill="FFFFFF"/>
          <w:lang w:val="en-US"/>
        </w:rPr>
        <w:t xml:space="preserve"> đã tiếp nhận và phản hồi là</w:t>
      </w:r>
      <w:r w:rsidR="002D7255" w:rsidRPr="007721C0">
        <w:rPr>
          <w:shd w:val="clear" w:color="auto" w:fill="FFFFFF"/>
          <w:lang w:val="en-US"/>
        </w:rPr>
        <w:t xml:space="preserve"> </w:t>
      </w:r>
      <w:r w:rsidR="000729E8" w:rsidRPr="007721C0">
        <w:rPr>
          <w:shd w:val="clear" w:color="auto" w:fill="FFFFFF"/>
          <w:lang w:val="en-US"/>
        </w:rPr>
        <w:t>204</w:t>
      </w:r>
      <w:r w:rsidR="007D7945" w:rsidRPr="007721C0">
        <w:rPr>
          <w:shd w:val="clear" w:color="auto" w:fill="FFFFFF"/>
          <w:lang w:val="en-US"/>
        </w:rPr>
        <w:t>/204</w:t>
      </w:r>
      <w:r w:rsidR="00AB474C" w:rsidRPr="007721C0">
        <w:rPr>
          <w:shd w:val="clear" w:color="auto" w:fill="FFFFFF"/>
          <w:lang w:val="en-US"/>
        </w:rPr>
        <w:t>,</w:t>
      </w:r>
      <w:r w:rsidRPr="007721C0">
        <w:rPr>
          <w:shd w:val="clear" w:color="auto" w:fill="FFFFFF"/>
          <w:lang w:val="en-US"/>
        </w:rPr>
        <w:t xml:space="preserve"> </w:t>
      </w:r>
      <w:r w:rsidRPr="007721C0">
        <w:t>đạt</w:t>
      </w:r>
      <w:r w:rsidRPr="007721C0">
        <w:rPr>
          <w:lang w:val="en-US"/>
        </w:rPr>
        <w:t xml:space="preserve"> tỷ lệ</w:t>
      </w:r>
      <w:r w:rsidRPr="007721C0">
        <w:t xml:space="preserve"> </w:t>
      </w:r>
      <w:r w:rsidR="0044379A" w:rsidRPr="007721C0">
        <w:t>100</w:t>
      </w:r>
      <w:r w:rsidRPr="007721C0">
        <w:t>%</w:t>
      </w:r>
      <w:r w:rsidRPr="007721C0">
        <w:rPr>
          <w:lang w:val="en-US"/>
        </w:rPr>
        <w:t>.</w:t>
      </w:r>
      <w:r w:rsidRPr="007721C0">
        <w:t xml:space="preserve"> </w:t>
      </w:r>
    </w:p>
    <w:p w:rsidR="00DB7F0D" w:rsidRPr="007721C0" w:rsidRDefault="00DB7F0D" w:rsidP="00F51789">
      <w:pPr>
        <w:spacing w:before="100" w:after="100"/>
        <w:ind w:firstLine="709"/>
        <w:jc w:val="both"/>
        <w:rPr>
          <w:lang w:val="en-US"/>
        </w:rPr>
      </w:pPr>
      <w:r w:rsidRPr="007721C0">
        <w:rPr>
          <w:lang w:val="en-US"/>
        </w:rPr>
        <w:t xml:space="preserve">Bên cạnh đó, Tổ trưởng Tổ công tác đã chỉ đạo một số thành viên Tổ công tác </w:t>
      </w:r>
      <w:r w:rsidRPr="007721C0">
        <w:rPr>
          <w:lang w:eastAsia="vi-VN"/>
        </w:rPr>
        <w:t>là lãnh đạo các Bộ: Tài chính, Tài nguyên và Môi trường, Lao động-Thương binh và Xã hội</w:t>
      </w:r>
      <w:r w:rsidRPr="007721C0">
        <w:rPr>
          <w:lang w:val="en-US" w:eastAsia="vi-VN"/>
        </w:rPr>
        <w:t xml:space="preserve"> </w:t>
      </w:r>
      <w:r w:rsidRPr="007721C0">
        <w:rPr>
          <w:lang w:eastAsia="vi-VN"/>
        </w:rPr>
        <w:t xml:space="preserve">tham dự và đồng chủ trì Hội nghị đối thoại với cộng đồng doanh nghiệp châu Âu </w:t>
      </w:r>
      <w:r w:rsidRPr="007721C0">
        <w:rPr>
          <w:i/>
          <w:lang w:eastAsia="vi-VN"/>
        </w:rPr>
        <w:t>(do Hiệp hội Doanh nghiệp châu Âu tại Việt Nam</w:t>
      </w:r>
      <w:r w:rsidR="00C835AA">
        <w:rPr>
          <w:i/>
          <w:lang w:eastAsia="vi-VN"/>
        </w:rPr>
        <w:t>, thành viên Hội đồng tư vấn</w:t>
      </w:r>
      <w:r w:rsidRPr="007721C0">
        <w:rPr>
          <w:i/>
          <w:lang w:eastAsia="vi-VN"/>
        </w:rPr>
        <w:t xml:space="preserve"> tổ chức vào tháng 01/2024)</w:t>
      </w:r>
      <w:r w:rsidRPr="007721C0">
        <w:rPr>
          <w:lang w:eastAsia="vi-VN"/>
        </w:rPr>
        <w:t xml:space="preserve">. Tại </w:t>
      </w:r>
      <w:r w:rsidRPr="007721C0">
        <w:rPr>
          <w:lang w:val="en-US" w:eastAsia="vi-VN"/>
        </w:rPr>
        <w:t>Hội nghị</w:t>
      </w:r>
      <w:r w:rsidRPr="007721C0">
        <w:rPr>
          <w:lang w:eastAsia="vi-VN"/>
        </w:rPr>
        <w:t>, đại diện Tổ công tác đã cùng các bộ, cơ quan liên quan trao đổi, thảo luận, trả lời 14 vấn đề vướng mắc chính</w:t>
      </w:r>
      <w:r w:rsidRPr="007721C0">
        <w:rPr>
          <w:rStyle w:val="FootnoteReference"/>
          <w:lang w:eastAsia="vi-VN"/>
        </w:rPr>
        <w:footnoteReference w:id="17"/>
      </w:r>
      <w:r w:rsidRPr="007721C0">
        <w:rPr>
          <w:lang w:eastAsia="vi-VN"/>
        </w:rPr>
        <w:t xml:space="preserve"> và 05 khuyến nghị chung</w:t>
      </w:r>
      <w:r w:rsidRPr="007721C0">
        <w:rPr>
          <w:rStyle w:val="FootnoteReference"/>
          <w:lang w:eastAsia="vi-VN"/>
        </w:rPr>
        <w:footnoteReference w:id="18"/>
      </w:r>
      <w:r w:rsidRPr="007721C0">
        <w:rPr>
          <w:lang w:eastAsia="vi-VN"/>
        </w:rPr>
        <w:t xml:space="preserve"> của cộng đồng doanh nghiệp châu Âu.</w:t>
      </w:r>
    </w:p>
    <w:p w:rsidR="00DB7F0D" w:rsidRPr="007721C0" w:rsidRDefault="00DB7F0D" w:rsidP="00F51789">
      <w:pPr>
        <w:shd w:val="clear" w:color="auto" w:fill="FFFFFF"/>
        <w:spacing w:before="100" w:after="100"/>
        <w:ind w:firstLine="709"/>
        <w:jc w:val="both"/>
        <w:rPr>
          <w:i/>
          <w:iCs/>
          <w:lang w:val="en-US" w:eastAsia="vi-VN"/>
        </w:rPr>
      </w:pPr>
      <w:r w:rsidRPr="007721C0">
        <w:rPr>
          <w:i/>
          <w:iCs/>
          <w:lang w:val="en-US" w:eastAsia="vi-VN"/>
        </w:rPr>
        <w:t>(2) Hoạt động của các thành viên Tổ công tác theo nhiệm vụ được giao</w:t>
      </w:r>
    </w:p>
    <w:p w:rsidR="00DB7F0D" w:rsidRPr="007721C0" w:rsidRDefault="00DB7F0D" w:rsidP="00F51789">
      <w:pPr>
        <w:shd w:val="clear" w:color="auto" w:fill="FFFFFF"/>
        <w:spacing w:before="100" w:after="100"/>
        <w:ind w:firstLine="709"/>
        <w:jc w:val="both"/>
        <w:rPr>
          <w:lang w:eastAsia="vi-VN"/>
        </w:rPr>
      </w:pPr>
      <w:r w:rsidRPr="007721C0">
        <w:rPr>
          <w:lang w:val="en-US" w:eastAsia="vi-VN"/>
        </w:rPr>
        <w:t>C</w:t>
      </w:r>
      <w:r w:rsidRPr="007721C0">
        <w:rPr>
          <w:lang w:eastAsia="vi-VN"/>
        </w:rPr>
        <w:t>ác thành viên Tổ công tác đã</w:t>
      </w:r>
      <w:r w:rsidRPr="007721C0">
        <w:rPr>
          <w:lang w:val="en-US" w:eastAsia="vi-VN"/>
        </w:rPr>
        <w:t xml:space="preserve"> chủ động,</w:t>
      </w:r>
      <w:r w:rsidRPr="007721C0">
        <w:rPr>
          <w:lang w:eastAsia="vi-VN"/>
        </w:rPr>
        <w:t xml:space="preserve"> tích cực</w:t>
      </w:r>
      <w:r w:rsidRPr="007721C0">
        <w:rPr>
          <w:lang w:val="en-US" w:eastAsia="vi-VN"/>
        </w:rPr>
        <w:t xml:space="preserve"> </w:t>
      </w:r>
      <w:r w:rsidRPr="007721C0">
        <w:rPr>
          <w:lang w:eastAsia="vi-VN"/>
        </w:rPr>
        <w:t>triển khai</w:t>
      </w:r>
      <w:r w:rsidRPr="007721C0">
        <w:rPr>
          <w:lang w:val="en-US" w:eastAsia="vi-VN"/>
        </w:rPr>
        <w:t xml:space="preserve"> Kế hoạch hoạt động năm 202</w:t>
      </w:r>
      <w:r w:rsidR="00AB474C" w:rsidRPr="007721C0">
        <w:rPr>
          <w:lang w:val="en-US" w:eastAsia="vi-VN"/>
        </w:rPr>
        <w:t>4</w:t>
      </w:r>
      <w:r w:rsidRPr="007721C0">
        <w:rPr>
          <w:lang w:eastAsia="vi-VN"/>
        </w:rPr>
        <w:t xml:space="preserve"> và </w:t>
      </w:r>
      <w:r w:rsidRPr="007721C0">
        <w:rPr>
          <w:lang w:val="en-US" w:eastAsia="vi-VN"/>
        </w:rPr>
        <w:t>các văn bản phân công nhiệm vụ của Tổ công tác như</w:t>
      </w:r>
      <w:r w:rsidRPr="007721C0">
        <w:rPr>
          <w:lang w:eastAsia="vi-VN"/>
        </w:rPr>
        <w:t>:</w:t>
      </w:r>
    </w:p>
    <w:p w:rsidR="00DB7F0D" w:rsidRPr="007721C0" w:rsidRDefault="00DB7F0D" w:rsidP="00A26C18">
      <w:pPr>
        <w:spacing w:before="100" w:after="100"/>
        <w:ind w:firstLine="709"/>
        <w:jc w:val="both"/>
        <w:rPr>
          <w:shd w:val="clear" w:color="auto" w:fill="FFFFFF"/>
        </w:rPr>
      </w:pPr>
      <w:bookmarkStart w:id="4" w:name="_Hlk156743782"/>
      <w:r w:rsidRPr="007721C0">
        <w:rPr>
          <w:lang w:val="en-US" w:eastAsia="vi-VN"/>
        </w:rPr>
        <w:tab/>
      </w:r>
      <w:r w:rsidRPr="007721C0">
        <w:rPr>
          <w:shd w:val="clear" w:color="auto" w:fill="FFFFFF"/>
        </w:rPr>
        <w:t>- Chỉ đạo, đôn đốc việc thực hiện Kế hoạch cải cách TTHC trọng tâm năm 202</w:t>
      </w:r>
      <w:r w:rsidR="00AB474C" w:rsidRPr="007721C0">
        <w:rPr>
          <w:shd w:val="clear" w:color="auto" w:fill="FFFFFF"/>
        </w:rPr>
        <w:t>4</w:t>
      </w:r>
      <w:r w:rsidRPr="007721C0">
        <w:rPr>
          <w:shd w:val="clear" w:color="auto" w:fill="FFFFFF"/>
        </w:rPr>
        <w:t xml:space="preserve"> theo Quyết định số </w:t>
      </w:r>
      <w:hyperlink r:id="rId9" w:tgtFrame="_blank" w:tooltip="Quyết định 933/QĐ-TTg" w:history="1">
        <w:r w:rsidR="00AB474C" w:rsidRPr="007721C0">
          <w:rPr>
            <w:rStyle w:val="Hyperlink"/>
            <w:color w:val="auto"/>
            <w:u w:val="none"/>
            <w:shd w:val="clear" w:color="auto" w:fill="FFFFFF"/>
          </w:rPr>
          <w:t>104</w:t>
        </w:r>
        <w:r w:rsidRPr="007721C0">
          <w:rPr>
            <w:rStyle w:val="Hyperlink"/>
            <w:color w:val="auto"/>
            <w:u w:val="none"/>
            <w:shd w:val="clear" w:color="auto" w:fill="FFFFFF"/>
          </w:rPr>
          <w:t>/QĐ-TTg</w:t>
        </w:r>
      </w:hyperlink>
      <w:r w:rsidRPr="007721C0">
        <w:rPr>
          <w:shd w:val="clear" w:color="auto" w:fill="FFFFFF"/>
        </w:rPr>
        <w:t xml:space="preserve"> ngày </w:t>
      </w:r>
      <w:r w:rsidR="00AB474C" w:rsidRPr="007721C0">
        <w:rPr>
          <w:shd w:val="clear" w:color="auto" w:fill="FFFFFF"/>
        </w:rPr>
        <w:t xml:space="preserve">25 tháng 01 năm </w:t>
      </w:r>
      <w:r w:rsidRPr="007721C0">
        <w:rPr>
          <w:shd w:val="clear" w:color="auto" w:fill="FFFFFF"/>
        </w:rPr>
        <w:t>202</w:t>
      </w:r>
      <w:r w:rsidR="00AB474C" w:rsidRPr="007721C0">
        <w:rPr>
          <w:shd w:val="clear" w:color="auto" w:fill="FFFFFF"/>
        </w:rPr>
        <w:t>4</w:t>
      </w:r>
      <w:r w:rsidRPr="007721C0">
        <w:rPr>
          <w:shd w:val="clear" w:color="auto" w:fill="FFFFFF"/>
        </w:rPr>
        <w:t xml:space="preserve"> của Thủ tướng Chính phủ</w:t>
      </w:r>
      <w:r w:rsidRPr="007721C0">
        <w:rPr>
          <w:shd w:val="clear" w:color="auto" w:fill="FFFFFF"/>
          <w:lang w:val="en-US"/>
        </w:rPr>
        <w:t>:</w:t>
      </w:r>
      <w:r w:rsidR="00A26C18">
        <w:rPr>
          <w:shd w:val="clear" w:color="auto" w:fill="FFFFFF"/>
          <w:lang w:val="en-US"/>
        </w:rPr>
        <w:t xml:space="preserve"> Các bộ, ngành, địa phương được phân công phụ trách đã ban hành Kế hoạch triển khai </w:t>
      </w:r>
      <w:r w:rsidR="005C18FF" w:rsidRPr="007721C0">
        <w:rPr>
          <w:shd w:val="clear" w:color="auto" w:fill="FFFFFF"/>
        </w:rPr>
        <w:t>Quyết định số 104/QĐ-TTg của Thủ tướng Chính ph</w:t>
      </w:r>
      <w:r w:rsidR="00E2399C" w:rsidRPr="007721C0">
        <w:rPr>
          <w:shd w:val="clear" w:color="auto" w:fill="FFFFFF"/>
        </w:rPr>
        <w:t>ủ</w:t>
      </w:r>
      <w:r w:rsidR="00A26C18">
        <w:rPr>
          <w:shd w:val="clear" w:color="auto" w:fill="FFFFFF"/>
        </w:rPr>
        <w:t>,</w:t>
      </w:r>
      <w:r w:rsidR="00B5003F" w:rsidRPr="007721C0">
        <w:rPr>
          <w:shd w:val="clear" w:color="auto" w:fill="FFFFFF"/>
        </w:rPr>
        <w:t xml:space="preserve"> đồng thời</w:t>
      </w:r>
      <w:r w:rsidR="00A26C18">
        <w:rPr>
          <w:shd w:val="clear" w:color="auto" w:fill="FFFFFF"/>
        </w:rPr>
        <w:t xml:space="preserve"> có</w:t>
      </w:r>
      <w:r w:rsidR="00C07BD3" w:rsidRPr="007721C0">
        <w:rPr>
          <w:shd w:val="clear" w:color="auto" w:fill="FFFFFF"/>
        </w:rPr>
        <w:t xml:space="preserve"> văn bản giao nhiệm vụ</w:t>
      </w:r>
      <w:r w:rsidR="00A26C18">
        <w:rPr>
          <w:shd w:val="clear" w:color="auto" w:fill="FFFFFF"/>
        </w:rPr>
        <w:t xml:space="preserve"> cụ thể</w:t>
      </w:r>
      <w:r w:rsidR="00C07BD3" w:rsidRPr="007721C0">
        <w:rPr>
          <w:shd w:val="clear" w:color="auto" w:fill="FFFFFF"/>
        </w:rPr>
        <w:t xml:space="preserve"> cho </w:t>
      </w:r>
      <w:r w:rsidR="00A26C18">
        <w:rPr>
          <w:shd w:val="clear" w:color="auto" w:fill="FFFFFF"/>
        </w:rPr>
        <w:t>từng</w:t>
      </w:r>
      <w:r w:rsidR="00C07BD3" w:rsidRPr="007721C0">
        <w:rPr>
          <w:shd w:val="clear" w:color="auto" w:fill="FFFFFF"/>
        </w:rPr>
        <w:t xml:space="preserve"> đơn vị trực thuộc</w:t>
      </w:r>
      <w:r w:rsidR="00A26C18">
        <w:rPr>
          <w:shd w:val="clear" w:color="auto" w:fill="FFFFFF"/>
        </w:rPr>
        <w:t xml:space="preserve"> triển khai</w:t>
      </w:r>
      <w:r w:rsidR="00776359" w:rsidRPr="007721C0">
        <w:rPr>
          <w:shd w:val="clear" w:color="auto" w:fill="FFFFFF"/>
        </w:rPr>
        <w:t xml:space="preserve"> bảo đảm</w:t>
      </w:r>
      <w:r w:rsidR="00A26C18">
        <w:rPr>
          <w:shd w:val="clear" w:color="auto" w:fill="FFFFFF"/>
        </w:rPr>
        <w:t xml:space="preserve"> </w:t>
      </w:r>
      <w:r w:rsidR="00776359" w:rsidRPr="007721C0">
        <w:rPr>
          <w:shd w:val="clear" w:color="auto" w:fill="FFFFFF"/>
        </w:rPr>
        <w:t>đồng bộ, hiệu quả</w:t>
      </w:r>
      <w:r w:rsidR="00C07BD3" w:rsidRPr="007721C0">
        <w:rPr>
          <w:shd w:val="clear" w:color="auto" w:fill="FFFFFF"/>
        </w:rPr>
        <w:t>.</w:t>
      </w:r>
      <w:r w:rsidRPr="007721C0">
        <w:rPr>
          <w:lang w:val="en-US" w:eastAsia="vi-VN"/>
        </w:rPr>
        <w:t xml:space="preserve"> </w:t>
      </w:r>
      <w:r w:rsidR="00A26C18">
        <w:rPr>
          <w:lang w:val="en-US" w:eastAsia="vi-VN"/>
        </w:rPr>
        <w:t xml:space="preserve">Các thành viên Tổ công tác </w:t>
      </w:r>
      <w:r w:rsidRPr="007721C0">
        <w:rPr>
          <w:lang w:eastAsia="vi-VN"/>
        </w:rPr>
        <w:t xml:space="preserve">đã </w:t>
      </w:r>
      <w:r w:rsidRPr="007721C0">
        <w:rPr>
          <w:shd w:val="clear" w:color="auto" w:fill="FFFFFF"/>
        </w:rPr>
        <w:t xml:space="preserve">có nhiều văn bản để đôn đốc </w:t>
      </w:r>
      <w:r w:rsidRPr="007721C0">
        <w:rPr>
          <w:shd w:val="clear" w:color="auto" w:fill="FFFFFF"/>
        </w:rPr>
        <w:lastRenderedPageBreak/>
        <w:t>các đơn vị trực thuộc cũng như các bộ, địa phương được phân công theo dõi;</w:t>
      </w:r>
      <w:r w:rsidRPr="007721C0">
        <w:rPr>
          <w:lang w:eastAsia="vi-VN"/>
        </w:rPr>
        <w:t xml:space="preserve"> </w:t>
      </w:r>
      <w:r w:rsidRPr="007721C0">
        <w:rPr>
          <w:lang w:val="en-US" w:eastAsia="vi-VN"/>
        </w:rPr>
        <w:t>định kỳ hoặc đột xuất đề nghị các bộ, địa phương gửi kết quả thực hiện các nhiệm vụ để theo dõi, đôn đốc</w:t>
      </w:r>
      <w:r w:rsidRPr="007721C0">
        <w:rPr>
          <w:lang w:eastAsia="vi-VN"/>
        </w:rPr>
        <w:t xml:space="preserve"> triển khai thực hiện.</w:t>
      </w:r>
      <w:r w:rsidRPr="007721C0">
        <w:rPr>
          <w:shd w:val="clear" w:color="auto" w:fill="FFFFFF"/>
        </w:rPr>
        <w:t xml:space="preserve"> </w:t>
      </w:r>
      <w:r w:rsidRPr="007721C0">
        <w:rPr>
          <w:lang w:eastAsia="vi-VN"/>
        </w:rPr>
        <w:t xml:space="preserve">Qua </w:t>
      </w:r>
      <w:r w:rsidRPr="007721C0">
        <w:rPr>
          <w:lang w:val="en-US" w:eastAsia="vi-VN"/>
        </w:rPr>
        <w:t>đó, đã nhận diện được các tồn tại, hạn chế cũng như khó khăn, vướng mắc của các bộ, địa phương trong quá trình thực hiện công tác cải cách TTHC</w:t>
      </w:r>
      <w:r w:rsidRPr="007721C0">
        <w:rPr>
          <w:lang w:eastAsia="vi-VN"/>
        </w:rPr>
        <w:t xml:space="preserve"> </w:t>
      </w:r>
      <w:r w:rsidRPr="007721C0">
        <w:rPr>
          <w:i/>
          <w:iCs/>
          <w:lang w:val="en-US" w:eastAsia="vi-VN"/>
        </w:rPr>
        <w:t xml:space="preserve">(Chi tiết kết quả đánh giá bộ, ngành, địa phương do các thành viên Tổ công tác theo dõi theo Bộ Chỉ số phục vụ người dân, doanh nghiệp </w:t>
      </w:r>
      <w:r w:rsidR="00AB474C" w:rsidRPr="007721C0">
        <w:rPr>
          <w:i/>
          <w:iCs/>
          <w:lang w:val="en-US" w:eastAsia="vi-VN"/>
        </w:rPr>
        <w:t>6 tháng đầu năm 2024</w:t>
      </w:r>
      <w:r w:rsidRPr="007721C0">
        <w:rPr>
          <w:i/>
          <w:iCs/>
          <w:lang w:val="en-US" w:eastAsia="vi-VN"/>
        </w:rPr>
        <w:t xml:space="preserve"> tại Phụ lục</w:t>
      </w:r>
      <w:r w:rsidRPr="007721C0">
        <w:rPr>
          <w:i/>
          <w:iCs/>
          <w:lang w:eastAsia="vi-VN"/>
        </w:rPr>
        <w:t xml:space="preserve"> I</w:t>
      </w:r>
      <w:r w:rsidRPr="007721C0">
        <w:rPr>
          <w:i/>
          <w:iCs/>
          <w:lang w:val="en-US" w:eastAsia="vi-VN"/>
        </w:rPr>
        <w:t xml:space="preserve">). </w:t>
      </w:r>
    </w:p>
    <w:p w:rsidR="00DB7F0D" w:rsidRPr="007721C0" w:rsidRDefault="00DB7F0D" w:rsidP="00F51789">
      <w:pPr>
        <w:shd w:val="clear" w:color="auto" w:fill="FFFFFF"/>
        <w:spacing w:before="100" w:after="100"/>
        <w:ind w:firstLine="709"/>
        <w:jc w:val="both"/>
        <w:rPr>
          <w:i/>
        </w:rPr>
      </w:pPr>
      <w:r w:rsidRPr="007721C0">
        <w:rPr>
          <w:shd w:val="clear" w:color="auto" w:fill="FFFFFF"/>
          <w:lang w:val="en-US"/>
        </w:rPr>
        <w:t>-</w:t>
      </w:r>
      <w:r w:rsidRPr="007721C0">
        <w:rPr>
          <w:shd w:val="clear" w:color="auto" w:fill="FFFFFF"/>
        </w:rPr>
        <w:t xml:space="preserve"> </w:t>
      </w:r>
      <w:r w:rsidRPr="007721C0">
        <w:rPr>
          <w:shd w:val="clear" w:color="auto" w:fill="FFFFFF"/>
          <w:lang w:val="en-US"/>
        </w:rPr>
        <w:t>Các thành viên Tổ công tác đã chỉ đạo</w:t>
      </w:r>
      <w:r w:rsidR="00A26C18">
        <w:rPr>
          <w:shd w:val="clear" w:color="auto" w:fill="FFFFFF"/>
          <w:lang w:val="en-US"/>
        </w:rPr>
        <w:t>, đề nghị</w:t>
      </w:r>
      <w:r w:rsidRPr="007721C0">
        <w:rPr>
          <w:shd w:val="clear" w:color="auto" w:fill="FFFFFF"/>
          <w:lang w:val="en-US"/>
        </w:rPr>
        <w:t xml:space="preserve"> các bộ, cơ quan được theo dõi phụ trách t</w:t>
      </w:r>
      <w:r w:rsidRPr="007721C0">
        <w:rPr>
          <w:shd w:val="clear" w:color="auto" w:fill="FFFFFF"/>
        </w:rPr>
        <w:t xml:space="preserve">hực hiện tốt </w:t>
      </w:r>
      <w:r w:rsidRPr="007721C0">
        <w:rPr>
          <w:shd w:val="clear" w:color="auto" w:fill="FFFFFF"/>
          <w:lang w:val="en-US"/>
        </w:rPr>
        <w:t xml:space="preserve">việc </w:t>
      </w:r>
      <w:r w:rsidRPr="007721C0">
        <w:rPr>
          <w:shd w:val="clear" w:color="auto" w:fill="FFFFFF"/>
        </w:rPr>
        <w:t xml:space="preserve">đánh giá tác động, thẩm định TTHC tại đề nghị xây dựng, dự án, dự thảo </w:t>
      </w:r>
      <w:r w:rsidR="000C32E0" w:rsidRPr="007721C0">
        <w:rPr>
          <w:shd w:val="clear" w:color="auto" w:fill="FFFFFF"/>
          <w:lang w:val="en-US"/>
        </w:rPr>
        <w:t xml:space="preserve">VBQPPL </w:t>
      </w:r>
      <w:r w:rsidRPr="007721C0">
        <w:rPr>
          <w:shd w:val="clear" w:color="auto" w:fill="FFFFFF"/>
        </w:rPr>
        <w:t>nhằm bảo đảm các TTHC được quy định đúng thẩm quyền, cần thiết, hợp lý và với chi phí tuân thủ thấp nhất.</w:t>
      </w:r>
      <w:r w:rsidR="0044038E" w:rsidRPr="007721C0">
        <w:rPr>
          <w:shd w:val="clear" w:color="auto" w:fill="FFFFFF"/>
        </w:rPr>
        <w:t xml:space="preserve"> Trong 6 tháng đầu năm 2024, </w:t>
      </w:r>
      <w:r w:rsidR="00944D71" w:rsidRPr="007721C0">
        <w:rPr>
          <w:shd w:val="clear" w:color="auto" w:fill="FFFFFF"/>
        </w:rPr>
        <w:t xml:space="preserve">các </w:t>
      </w:r>
      <w:r w:rsidR="0044038E" w:rsidRPr="007721C0">
        <w:rPr>
          <w:shd w:val="clear" w:color="auto" w:fill="FFFFFF"/>
        </w:rPr>
        <w:t>Bộ</w:t>
      </w:r>
      <w:r w:rsidR="00944D71" w:rsidRPr="007721C0">
        <w:rPr>
          <w:shd w:val="clear" w:color="auto" w:fill="FFFFFF"/>
        </w:rPr>
        <w:t xml:space="preserve">: </w:t>
      </w:r>
      <w:r w:rsidR="0044038E" w:rsidRPr="007721C0">
        <w:rPr>
          <w:shd w:val="clear" w:color="auto" w:fill="FFFFFF"/>
        </w:rPr>
        <w:t>Xây dựng</w:t>
      </w:r>
      <w:r w:rsidR="00944D71" w:rsidRPr="007721C0">
        <w:rPr>
          <w:shd w:val="clear" w:color="auto" w:fill="FFFFFF"/>
        </w:rPr>
        <w:t>, Kế hoạch và Đầu tư, Khoa học và Công nghệ</w:t>
      </w:r>
      <w:r w:rsidR="0044038E" w:rsidRPr="007721C0">
        <w:rPr>
          <w:shd w:val="clear" w:color="auto" w:fill="FFFFFF"/>
        </w:rPr>
        <w:t xml:space="preserve"> đã thực hiện đánh giá tác động TTHC </w:t>
      </w:r>
      <w:r w:rsidR="001E60E5" w:rsidRPr="007721C0">
        <w:rPr>
          <w:shd w:val="clear" w:color="auto" w:fill="FFFFFF"/>
        </w:rPr>
        <w:t>tại</w:t>
      </w:r>
      <w:r w:rsidR="003374FC" w:rsidRPr="007721C0">
        <w:rPr>
          <w:shd w:val="clear" w:color="auto" w:fill="FFFFFF"/>
        </w:rPr>
        <w:t xml:space="preserve"> tổng số</w:t>
      </w:r>
      <w:r w:rsidR="0044038E" w:rsidRPr="007721C0">
        <w:rPr>
          <w:shd w:val="clear" w:color="auto" w:fill="FFFFFF"/>
        </w:rPr>
        <w:t xml:space="preserve"> 02 dự án Luật, </w:t>
      </w:r>
      <w:r w:rsidR="00944D71" w:rsidRPr="007721C0">
        <w:rPr>
          <w:shd w:val="clear" w:color="auto" w:fill="FFFFFF"/>
        </w:rPr>
        <w:t xml:space="preserve">07 </w:t>
      </w:r>
      <w:r w:rsidR="0044038E" w:rsidRPr="007721C0">
        <w:rPr>
          <w:shd w:val="clear" w:color="auto" w:fill="FFFFFF"/>
        </w:rPr>
        <w:t>dự thảo Nghị định</w:t>
      </w:r>
      <w:r w:rsidR="00944D71" w:rsidRPr="007721C0">
        <w:rPr>
          <w:shd w:val="clear" w:color="auto" w:fill="FFFFFF"/>
        </w:rPr>
        <w:t xml:space="preserve"> và 06 Thông tư</w:t>
      </w:r>
      <w:r w:rsidR="001E60E5" w:rsidRPr="007721C0">
        <w:rPr>
          <w:shd w:val="clear" w:color="auto" w:fill="FFFFFF"/>
        </w:rPr>
        <w:t xml:space="preserve">; </w:t>
      </w:r>
      <w:r w:rsidRPr="007721C0">
        <w:t xml:space="preserve">Bộ Tư pháp </w:t>
      </w:r>
      <w:r w:rsidRPr="007721C0">
        <w:rPr>
          <w:lang w:val="en-US"/>
        </w:rPr>
        <w:t xml:space="preserve">đã thực hiện thẩm định </w:t>
      </w:r>
      <w:r w:rsidR="002775AB" w:rsidRPr="007721C0">
        <w:rPr>
          <w:lang w:val="en-US"/>
        </w:rPr>
        <w:t>630</w:t>
      </w:r>
      <w:r w:rsidR="00371222" w:rsidRPr="007721C0">
        <w:rPr>
          <w:lang w:val="en-US"/>
        </w:rPr>
        <w:t xml:space="preserve"> </w:t>
      </w:r>
      <w:r w:rsidRPr="007721C0">
        <w:rPr>
          <w:lang w:val="en-US"/>
        </w:rPr>
        <w:t xml:space="preserve">TTHC tại </w:t>
      </w:r>
      <w:r w:rsidR="002775AB" w:rsidRPr="007721C0">
        <w:rPr>
          <w:lang w:val="en-US"/>
        </w:rPr>
        <w:t>57</w:t>
      </w:r>
      <w:r w:rsidR="00371222" w:rsidRPr="007721C0">
        <w:rPr>
          <w:lang w:val="en-US"/>
        </w:rPr>
        <w:t xml:space="preserve"> </w:t>
      </w:r>
      <w:r w:rsidRPr="007721C0">
        <w:rPr>
          <w:lang w:val="en-US"/>
        </w:rPr>
        <w:t xml:space="preserve">đề nghị xây dựng và dự án, dự thảo </w:t>
      </w:r>
      <w:r w:rsidR="000C32E0" w:rsidRPr="007721C0">
        <w:rPr>
          <w:shd w:val="clear" w:color="auto" w:fill="FFFFFF"/>
          <w:lang w:val="en-US"/>
        </w:rPr>
        <w:t>VBQPPL</w:t>
      </w:r>
      <w:r w:rsidRPr="007721C0">
        <w:rPr>
          <w:lang w:val="en-US"/>
        </w:rPr>
        <w:t xml:space="preserve">, trong đó, đề nghị không quy định </w:t>
      </w:r>
      <w:r w:rsidR="002775AB" w:rsidRPr="007721C0">
        <w:rPr>
          <w:lang w:val="en-US"/>
        </w:rPr>
        <w:t>06</w:t>
      </w:r>
      <w:r w:rsidR="00371222" w:rsidRPr="007721C0">
        <w:rPr>
          <w:lang w:val="en-US"/>
        </w:rPr>
        <w:t xml:space="preserve"> </w:t>
      </w:r>
      <w:r w:rsidRPr="007721C0">
        <w:rPr>
          <w:lang w:val="en-US"/>
        </w:rPr>
        <w:t>TTHC, đề nghị sửa đổi</w:t>
      </w:r>
      <w:r w:rsidR="00371222" w:rsidRPr="007721C0">
        <w:rPr>
          <w:lang w:val="en-US"/>
        </w:rPr>
        <w:t>, bổ sung</w:t>
      </w:r>
      <w:r w:rsidRPr="007721C0">
        <w:rPr>
          <w:lang w:val="en-US"/>
        </w:rPr>
        <w:t xml:space="preserve"> </w:t>
      </w:r>
      <w:r w:rsidR="002775AB" w:rsidRPr="007721C0">
        <w:rPr>
          <w:lang w:val="en-US"/>
        </w:rPr>
        <w:t>454</w:t>
      </w:r>
      <w:r w:rsidR="00371222" w:rsidRPr="007721C0">
        <w:rPr>
          <w:lang w:val="en-US"/>
        </w:rPr>
        <w:t xml:space="preserve"> </w:t>
      </w:r>
      <w:r w:rsidRPr="007721C0">
        <w:rPr>
          <w:lang w:val="en-US"/>
        </w:rPr>
        <w:t xml:space="preserve">TTHC </w:t>
      </w:r>
      <w:r w:rsidRPr="007721C0">
        <w:rPr>
          <w:i/>
          <w:lang w:val="en-US"/>
        </w:rPr>
        <w:t xml:space="preserve">(chiếm tỷ lệ </w:t>
      </w:r>
      <w:r w:rsidR="00371222" w:rsidRPr="007721C0">
        <w:rPr>
          <w:i/>
          <w:lang w:val="en-US"/>
        </w:rPr>
        <w:t>7</w:t>
      </w:r>
      <w:r w:rsidR="002775AB" w:rsidRPr="007721C0">
        <w:rPr>
          <w:i/>
          <w:lang w:val="en-US"/>
        </w:rPr>
        <w:t>3</w:t>
      </w:r>
      <w:r w:rsidRPr="007721C0">
        <w:rPr>
          <w:i/>
          <w:lang w:val="en-US"/>
        </w:rPr>
        <w:t>%)</w:t>
      </w:r>
      <w:r w:rsidR="001667AC" w:rsidRPr="007721C0">
        <w:rPr>
          <w:rStyle w:val="FootnoteReference"/>
          <w:i/>
          <w:lang w:val="en-US"/>
        </w:rPr>
        <w:footnoteReference w:id="19"/>
      </w:r>
      <w:r w:rsidRPr="007721C0">
        <w:rPr>
          <w:lang w:val="en-US"/>
        </w:rPr>
        <w:t xml:space="preserve">. Văn phòng Chính phủ đã </w:t>
      </w:r>
      <w:r w:rsidRPr="007721C0">
        <w:t xml:space="preserve">thẩm tra </w:t>
      </w:r>
      <w:r w:rsidR="00E2399C" w:rsidRPr="007721C0">
        <w:t xml:space="preserve">266 </w:t>
      </w:r>
      <w:r w:rsidRPr="007721C0">
        <w:t xml:space="preserve">TTHC và </w:t>
      </w:r>
      <w:r w:rsidR="00E2399C" w:rsidRPr="007721C0">
        <w:t xml:space="preserve">35 </w:t>
      </w:r>
      <w:r w:rsidRPr="007721C0">
        <w:t>quy định kinh doanh</w:t>
      </w:r>
      <w:r w:rsidRPr="007721C0">
        <w:rPr>
          <w:lang w:val="en-US"/>
        </w:rPr>
        <w:t xml:space="preserve"> (QĐKD)</w:t>
      </w:r>
      <w:r w:rsidRPr="007721C0">
        <w:t xml:space="preserve"> tại </w:t>
      </w:r>
      <w:r w:rsidR="00E2399C" w:rsidRPr="007721C0">
        <w:t xml:space="preserve">26 </w:t>
      </w:r>
      <w:r w:rsidRPr="007721C0">
        <w:t xml:space="preserve">dự thảo </w:t>
      </w:r>
      <w:r w:rsidR="000C32E0" w:rsidRPr="007721C0">
        <w:rPr>
          <w:shd w:val="clear" w:color="auto" w:fill="FFFFFF"/>
          <w:lang w:val="en-US"/>
        </w:rPr>
        <w:t>VBQPPL</w:t>
      </w:r>
      <w:r w:rsidRPr="007721C0">
        <w:t xml:space="preserve">, trong đó đã đề nghị không quy định: </w:t>
      </w:r>
      <w:r w:rsidR="00355B0B" w:rsidRPr="007721C0">
        <w:t xml:space="preserve">14 </w:t>
      </w:r>
      <w:r w:rsidRPr="007721C0">
        <w:t xml:space="preserve">TTHC, </w:t>
      </w:r>
      <w:r w:rsidR="00355B0B" w:rsidRPr="007721C0">
        <w:t xml:space="preserve">01 </w:t>
      </w:r>
      <w:r w:rsidRPr="007721C0">
        <w:t xml:space="preserve">QĐKD, sửa đổi, bổ sung: </w:t>
      </w:r>
      <w:r w:rsidR="00355B0B" w:rsidRPr="007721C0">
        <w:t xml:space="preserve">148 </w:t>
      </w:r>
      <w:r w:rsidRPr="007721C0">
        <w:t xml:space="preserve">TTHC, </w:t>
      </w:r>
      <w:r w:rsidR="00355B0B" w:rsidRPr="007721C0">
        <w:t xml:space="preserve">16 </w:t>
      </w:r>
      <w:r w:rsidRPr="007721C0">
        <w:t xml:space="preserve">QĐKD </w:t>
      </w:r>
      <w:r w:rsidRPr="007721C0">
        <w:rPr>
          <w:i/>
        </w:rPr>
        <w:t>(chiếm</w:t>
      </w:r>
      <w:r w:rsidRPr="007721C0">
        <w:rPr>
          <w:i/>
          <w:lang w:val="en-US"/>
        </w:rPr>
        <w:t xml:space="preserve"> tỷ lệ</w:t>
      </w:r>
      <w:r w:rsidRPr="007721C0">
        <w:t xml:space="preserve"> </w:t>
      </w:r>
      <w:r w:rsidR="00355B0B" w:rsidRPr="007721C0">
        <w:rPr>
          <w:i/>
        </w:rPr>
        <w:t>59,4</w:t>
      </w:r>
      <w:r w:rsidRPr="007721C0">
        <w:rPr>
          <w:i/>
        </w:rPr>
        <w:t xml:space="preserve">%). </w:t>
      </w:r>
    </w:p>
    <w:p w:rsidR="00DB7F0D" w:rsidRPr="00A740C0" w:rsidRDefault="00DB7F0D" w:rsidP="00F51789">
      <w:pPr>
        <w:spacing w:before="100" w:after="100"/>
        <w:ind w:firstLine="709"/>
        <w:jc w:val="both"/>
        <w:rPr>
          <w:spacing w:val="-1"/>
          <w:shd w:val="clear" w:color="auto" w:fill="FFFFFF"/>
          <w:lang w:val="en-US"/>
        </w:rPr>
      </w:pPr>
      <w:r w:rsidRPr="00A740C0">
        <w:rPr>
          <w:spacing w:val="-1"/>
          <w:shd w:val="clear" w:color="auto" w:fill="FFFFFF"/>
        </w:rPr>
        <w:t>- Chỉ đạo</w:t>
      </w:r>
      <w:r w:rsidR="00AB474C" w:rsidRPr="00A740C0">
        <w:rPr>
          <w:spacing w:val="-1"/>
          <w:shd w:val="clear" w:color="auto" w:fill="FFFFFF"/>
        </w:rPr>
        <w:t>,</w:t>
      </w:r>
      <w:r w:rsidRPr="00A740C0">
        <w:rPr>
          <w:spacing w:val="-1"/>
          <w:shd w:val="clear" w:color="auto" w:fill="FFFFFF"/>
        </w:rPr>
        <w:t xml:space="preserve"> đôn đốc việc triển khai </w:t>
      </w:r>
      <w:r w:rsidR="00AB474C" w:rsidRPr="00A740C0">
        <w:rPr>
          <w:spacing w:val="-1"/>
          <w:shd w:val="clear" w:color="auto" w:fill="FFFFFF"/>
        </w:rPr>
        <w:t xml:space="preserve">cung cấp </w:t>
      </w:r>
      <w:r w:rsidRPr="00A740C0">
        <w:rPr>
          <w:spacing w:val="-1"/>
          <w:shd w:val="clear" w:color="auto" w:fill="FFFFFF"/>
        </w:rPr>
        <w:t>dịch vụ công</w:t>
      </w:r>
      <w:r w:rsidR="00AB474C" w:rsidRPr="00A740C0">
        <w:rPr>
          <w:spacing w:val="-1"/>
          <w:shd w:val="clear" w:color="auto" w:fill="FFFFFF"/>
        </w:rPr>
        <w:t>:</w:t>
      </w:r>
      <w:r w:rsidR="00FD1895" w:rsidRPr="00A740C0">
        <w:rPr>
          <w:spacing w:val="-1"/>
          <w:shd w:val="clear" w:color="auto" w:fill="FFFFFF"/>
        </w:rPr>
        <w:t xml:space="preserve"> </w:t>
      </w:r>
      <w:r w:rsidR="00FD1895" w:rsidRPr="00A740C0">
        <w:rPr>
          <w:b/>
          <w:spacing w:val="-1"/>
          <w:shd w:val="clear" w:color="auto" w:fill="FFFFFF"/>
        </w:rPr>
        <w:t>(1)</w:t>
      </w:r>
      <w:r w:rsidR="00FD1895" w:rsidRPr="00A740C0">
        <w:rPr>
          <w:spacing w:val="-1"/>
          <w:shd w:val="clear" w:color="auto" w:fill="FFFFFF"/>
        </w:rPr>
        <w:t xml:space="preserve"> Bộ Giao thông vận tải đã hoàn thành 04/04 nhiệm vụ trọng tâm được giao tại Đề án 06; hoàn thành 04 bộ cơ sở dữ liệu dùng chung</w:t>
      </w:r>
      <w:r w:rsidR="004D19B4" w:rsidRPr="00A740C0">
        <w:rPr>
          <w:spacing w:val="-1"/>
          <w:shd w:val="clear" w:color="auto" w:fill="FFFFFF"/>
        </w:rPr>
        <w:t xml:space="preserve"> và</w:t>
      </w:r>
      <w:r w:rsidR="00FD1895" w:rsidRPr="00A740C0">
        <w:rPr>
          <w:spacing w:val="-1"/>
          <w:shd w:val="clear" w:color="auto" w:fill="FFFFFF"/>
        </w:rPr>
        <w:t xml:space="preserve"> chia sẻ dữ liệu của Bộ với 06 bộ</w:t>
      </w:r>
      <w:r w:rsidR="00863FC6" w:rsidRPr="00A740C0">
        <w:rPr>
          <w:spacing w:val="-1"/>
          <w:shd w:val="clear" w:color="auto" w:fill="FFFFFF"/>
        </w:rPr>
        <w:t xml:space="preserve">, </w:t>
      </w:r>
      <w:r w:rsidR="00D8640E" w:rsidRPr="00A740C0">
        <w:rPr>
          <w:spacing w:val="-1"/>
          <w:shd w:val="clear" w:color="auto" w:fill="FFFFFF"/>
        </w:rPr>
        <w:t xml:space="preserve">63 </w:t>
      </w:r>
      <w:r w:rsidR="00FD1895" w:rsidRPr="00A740C0">
        <w:rPr>
          <w:spacing w:val="-1"/>
          <w:shd w:val="clear" w:color="auto" w:fill="FFFFFF"/>
        </w:rPr>
        <w:t>địa phương</w:t>
      </w:r>
      <w:r w:rsidR="00FF545D" w:rsidRPr="00A740C0">
        <w:rPr>
          <w:spacing w:val="-1"/>
          <w:shd w:val="clear" w:color="auto" w:fill="FFFFFF"/>
        </w:rPr>
        <w:t xml:space="preserve">; tính đến tháng 6/2024, đã tiếp nhận và xử lý hơn 9 nghìn hồ sơ trực tuyến, trong đó, </w:t>
      </w:r>
      <w:r w:rsidR="004D19B4" w:rsidRPr="00A740C0">
        <w:rPr>
          <w:spacing w:val="-1"/>
          <w:shd w:val="clear" w:color="auto" w:fill="FFFFFF"/>
        </w:rPr>
        <w:t>58,85% là hồ sơ</w:t>
      </w:r>
      <w:r w:rsidR="00FF545D" w:rsidRPr="00A740C0">
        <w:rPr>
          <w:spacing w:val="-1"/>
          <w:shd w:val="clear" w:color="auto" w:fill="FFFFFF"/>
        </w:rPr>
        <w:t xml:space="preserve"> dịch vụ công trực tuyến toàn trình</w:t>
      </w:r>
      <w:r w:rsidR="00FD1895" w:rsidRPr="00A740C0">
        <w:rPr>
          <w:spacing w:val="-1"/>
          <w:shd w:val="clear" w:color="auto" w:fill="FFFFFF"/>
        </w:rPr>
        <w:t xml:space="preserve">; </w:t>
      </w:r>
      <w:r w:rsidR="00A10414" w:rsidRPr="00A740C0">
        <w:rPr>
          <w:b/>
          <w:spacing w:val="-1"/>
          <w:shd w:val="clear" w:color="auto" w:fill="FFFFFF"/>
        </w:rPr>
        <w:t>(</w:t>
      </w:r>
      <w:r w:rsidR="00A740C0" w:rsidRPr="00A740C0">
        <w:rPr>
          <w:b/>
          <w:spacing w:val="-1"/>
          <w:shd w:val="clear" w:color="auto" w:fill="FFFFFF"/>
        </w:rPr>
        <w:t>2</w:t>
      </w:r>
      <w:r w:rsidR="00A10414" w:rsidRPr="00A740C0">
        <w:rPr>
          <w:b/>
          <w:spacing w:val="-1"/>
          <w:shd w:val="clear" w:color="auto" w:fill="FFFFFF"/>
        </w:rPr>
        <w:t xml:space="preserve">) </w:t>
      </w:r>
      <w:r w:rsidR="005B0DA7" w:rsidRPr="00A740C0">
        <w:rPr>
          <w:spacing w:val="-1"/>
          <w:shd w:val="clear" w:color="auto" w:fill="FFFFFF"/>
        </w:rPr>
        <w:t>Bộ Tài nguyên và Môi trường đã</w:t>
      </w:r>
      <w:r w:rsidR="005B0DA7" w:rsidRPr="00A740C0">
        <w:rPr>
          <w:b/>
          <w:spacing w:val="-1"/>
          <w:shd w:val="clear" w:color="auto" w:fill="FFFFFF"/>
        </w:rPr>
        <w:t xml:space="preserve"> </w:t>
      </w:r>
      <w:r w:rsidR="005B0DA7" w:rsidRPr="00A740C0">
        <w:rPr>
          <w:spacing w:val="-1"/>
        </w:rPr>
        <w:t>cập nhật quy trình điện tử, tái cấu trúc quy trình giải quyết TTHC trên hệ thống một cửa điện tử của Bộ đối với lĩnh vực biển và hải đảo</w:t>
      </w:r>
      <w:r w:rsidR="005B0DA7" w:rsidRPr="00A740C0">
        <w:rPr>
          <w:rStyle w:val="FootnoteReference"/>
          <w:spacing w:val="-1"/>
        </w:rPr>
        <w:footnoteReference w:id="20"/>
      </w:r>
      <w:r w:rsidR="00910302" w:rsidRPr="00A740C0">
        <w:rPr>
          <w:spacing w:val="-1"/>
        </w:rPr>
        <w:t xml:space="preserve">; đồng thời, </w:t>
      </w:r>
      <w:r w:rsidR="004372A3" w:rsidRPr="00A740C0">
        <w:rPr>
          <w:spacing w:val="-1"/>
        </w:rPr>
        <w:t>đã hoàn thành tái cấu trúc quy trình, thực hiện kết nối, tích hợp, công bố, cung cấp dịch vụ công trực tuyến đối với 02 thủ tục</w:t>
      </w:r>
      <w:r w:rsidR="00A740C0" w:rsidRPr="00A740C0">
        <w:rPr>
          <w:spacing w:val="-1"/>
        </w:rPr>
        <w:t xml:space="preserve"> liên quan đến đất đai</w:t>
      </w:r>
      <w:r w:rsidR="004372A3" w:rsidRPr="00A740C0">
        <w:rPr>
          <w:rStyle w:val="FootnoteReference"/>
          <w:spacing w:val="-1"/>
        </w:rPr>
        <w:footnoteReference w:id="21"/>
      </w:r>
      <w:r w:rsidR="00F32251" w:rsidRPr="00A740C0">
        <w:rPr>
          <w:spacing w:val="-1"/>
        </w:rPr>
        <w:t xml:space="preserve">; </w:t>
      </w:r>
      <w:r w:rsidR="00F32251" w:rsidRPr="00A740C0">
        <w:rPr>
          <w:b/>
          <w:spacing w:val="-1"/>
        </w:rPr>
        <w:t>(</w:t>
      </w:r>
      <w:r w:rsidR="00A740C0" w:rsidRPr="00A740C0">
        <w:rPr>
          <w:b/>
          <w:spacing w:val="-1"/>
        </w:rPr>
        <w:t>3</w:t>
      </w:r>
      <w:r w:rsidR="00F32251" w:rsidRPr="00A740C0">
        <w:rPr>
          <w:b/>
          <w:spacing w:val="-1"/>
        </w:rPr>
        <w:t>)</w:t>
      </w:r>
      <w:r w:rsidR="00F32251" w:rsidRPr="00A740C0">
        <w:rPr>
          <w:spacing w:val="-1"/>
        </w:rPr>
        <w:t xml:space="preserve"> Bộ Lao động </w:t>
      </w:r>
      <w:r w:rsidR="003540CC" w:rsidRPr="00A740C0">
        <w:rPr>
          <w:spacing w:val="-1"/>
        </w:rPr>
        <w:t>-</w:t>
      </w:r>
      <w:r w:rsidR="00F32251" w:rsidRPr="00A740C0">
        <w:rPr>
          <w:spacing w:val="-1"/>
        </w:rPr>
        <w:t xml:space="preserve"> Thương binh và Xã hội đã </w:t>
      </w:r>
      <w:r w:rsidR="003404DC" w:rsidRPr="00A740C0">
        <w:rPr>
          <w:spacing w:val="-1"/>
        </w:rPr>
        <w:t xml:space="preserve">tích hợp 18 dịch vụ công trực tuyến lĩnh vực lao động </w:t>
      </w:r>
      <w:r w:rsidR="003540CC" w:rsidRPr="00A740C0">
        <w:rPr>
          <w:spacing w:val="-1"/>
        </w:rPr>
        <w:t>-</w:t>
      </w:r>
      <w:r w:rsidR="003404DC" w:rsidRPr="00A740C0">
        <w:rPr>
          <w:spacing w:val="-1"/>
        </w:rPr>
        <w:t xml:space="preserve"> việc làm, bảo trợ xã hội lên Cổng Dịch vụ công quốc gia</w:t>
      </w:r>
      <w:r w:rsidR="00A711C3" w:rsidRPr="00A740C0">
        <w:rPr>
          <w:spacing w:val="-1"/>
        </w:rPr>
        <w:t xml:space="preserve">; </w:t>
      </w:r>
      <w:r w:rsidR="00A711C3" w:rsidRPr="00A740C0">
        <w:rPr>
          <w:b/>
          <w:spacing w:val="-1"/>
        </w:rPr>
        <w:t>(</w:t>
      </w:r>
      <w:r w:rsidR="00A740C0" w:rsidRPr="00A740C0">
        <w:rPr>
          <w:b/>
          <w:spacing w:val="-1"/>
        </w:rPr>
        <w:t>4</w:t>
      </w:r>
      <w:r w:rsidR="00A711C3" w:rsidRPr="00A740C0">
        <w:rPr>
          <w:b/>
          <w:spacing w:val="-1"/>
        </w:rPr>
        <w:t>)</w:t>
      </w:r>
      <w:r w:rsidR="00A711C3" w:rsidRPr="00A740C0">
        <w:rPr>
          <w:spacing w:val="-1"/>
        </w:rPr>
        <w:t xml:space="preserve"> Bộ Khoa học và Công nghệ đã </w:t>
      </w:r>
      <w:r w:rsidR="00136461" w:rsidRPr="00A740C0">
        <w:rPr>
          <w:spacing w:val="-1"/>
        </w:rPr>
        <w:t>tiến hành chuẩn hóa mẫu đơn tờ khai trong quá trình triển khai dịch vụ công trực tuyến theo hướng giảm tối thiểu khai thông tin</w:t>
      </w:r>
      <w:r w:rsidR="00136461" w:rsidRPr="00A740C0">
        <w:rPr>
          <w:rStyle w:val="FootnoteReference"/>
          <w:spacing w:val="-1"/>
        </w:rPr>
        <w:footnoteReference w:id="22"/>
      </w:r>
      <w:r w:rsidR="00136461" w:rsidRPr="00A740C0">
        <w:rPr>
          <w:spacing w:val="-1"/>
        </w:rPr>
        <w:t>.</w:t>
      </w:r>
      <w:r w:rsidR="00A740C0" w:rsidRPr="00A740C0">
        <w:rPr>
          <w:spacing w:val="-1"/>
        </w:rPr>
        <w:t>..</w:t>
      </w:r>
    </w:p>
    <w:p w:rsidR="00DB7F0D" w:rsidRPr="007721C0" w:rsidRDefault="00DB7F0D" w:rsidP="00F51789">
      <w:pPr>
        <w:spacing w:before="100" w:after="100"/>
        <w:ind w:firstLine="709"/>
        <w:jc w:val="both"/>
      </w:pPr>
      <w:r w:rsidRPr="007721C0">
        <w:t>-</w:t>
      </w:r>
      <w:r w:rsidRPr="007721C0">
        <w:rPr>
          <w:lang w:val="en-US"/>
        </w:rPr>
        <w:t xml:space="preserve"> </w:t>
      </w:r>
      <w:r w:rsidRPr="007721C0">
        <w:t xml:space="preserve">Tổ chức các buổi đối thoại, trao đổi để lắng nghe những khó khăn, vướng mắc về cơ chế, chính sách, TTHC: </w:t>
      </w:r>
      <w:r w:rsidR="005204B3" w:rsidRPr="007721C0">
        <w:rPr>
          <w:b/>
        </w:rPr>
        <w:t xml:space="preserve">(1) </w:t>
      </w:r>
      <w:r w:rsidR="005204B3" w:rsidRPr="007721C0">
        <w:t xml:space="preserve">Bộ Tài chính đã phối hợp với </w:t>
      </w:r>
      <w:r w:rsidR="00CD76F8">
        <w:t>VCCI</w:t>
      </w:r>
      <w:r w:rsidR="005204B3" w:rsidRPr="007721C0">
        <w:t xml:space="preserve"> tổ chức Hội nghị đối thoại cùng doanh nghiệp về TTHC &amp; ra mắt </w:t>
      </w:r>
      <w:r w:rsidR="00831273" w:rsidRPr="007721C0">
        <w:t>S</w:t>
      </w:r>
      <w:r w:rsidR="005204B3" w:rsidRPr="007721C0">
        <w:t xml:space="preserve">ách trắng 2024 “Thúc đẩy đầu tư hướng tới nền kinh tế xanh và bền vững”; đã chủ trì tổ chức Hội nghị đối thoại giữa Bộ Tài chính và Doanh nghiệp Hàn quốc về chính sách, TTHC thuế </w:t>
      </w:r>
      <w:r w:rsidR="005204B3" w:rsidRPr="007721C0">
        <w:lastRenderedPageBreak/>
        <w:t>và hải quan năm 2024</w:t>
      </w:r>
      <w:r w:rsidR="00CC4AD0" w:rsidRPr="007721C0">
        <w:t>;</w:t>
      </w:r>
      <w:r w:rsidR="00703210" w:rsidRPr="007721C0">
        <w:t xml:space="preserve"> </w:t>
      </w:r>
      <w:r w:rsidR="00703210" w:rsidRPr="007721C0">
        <w:rPr>
          <w:b/>
        </w:rPr>
        <w:t>(2)</w:t>
      </w:r>
      <w:r w:rsidR="00703210" w:rsidRPr="007721C0">
        <w:t xml:space="preserve"> Bộ Giao thông vận tải đã tổ chức Hội nghị đối thoại doanh nghiệp trong lĩnh vực hàng hải và đường thủy nội địa</w:t>
      </w:r>
      <w:r w:rsidR="00F039A7" w:rsidRPr="007721C0">
        <w:t xml:space="preserve"> để kịp thời tháo gỡ những khó khăn, vướng mắc cho các doanh nghiệp</w:t>
      </w:r>
      <w:r w:rsidR="007C260C" w:rsidRPr="007721C0">
        <w:t>;</w:t>
      </w:r>
      <w:r w:rsidR="005204B3" w:rsidRPr="007721C0">
        <w:t xml:space="preserve"> </w:t>
      </w:r>
      <w:r w:rsidRPr="007721C0">
        <w:rPr>
          <w:b/>
          <w:shd w:val="clear" w:color="auto" w:fill="FFFFFF"/>
          <w:lang w:val="en-US"/>
        </w:rPr>
        <w:t>(</w:t>
      </w:r>
      <w:r w:rsidR="00031E09" w:rsidRPr="007721C0">
        <w:rPr>
          <w:b/>
          <w:shd w:val="clear" w:color="auto" w:fill="FFFFFF"/>
          <w:lang w:val="en-US"/>
        </w:rPr>
        <w:t>3</w:t>
      </w:r>
      <w:r w:rsidRPr="007721C0">
        <w:rPr>
          <w:b/>
          <w:shd w:val="clear" w:color="auto" w:fill="FFFFFF"/>
          <w:lang w:val="en-US"/>
        </w:rPr>
        <w:t>)</w:t>
      </w:r>
      <w:r w:rsidRPr="007721C0">
        <w:rPr>
          <w:shd w:val="clear" w:color="auto" w:fill="FFFFFF"/>
          <w:lang w:val="en-US"/>
        </w:rPr>
        <w:t xml:space="preserve"> </w:t>
      </w:r>
      <w:r w:rsidRPr="007721C0">
        <w:rPr>
          <w:shd w:val="clear" w:color="auto" w:fill="FFFFFF"/>
        </w:rPr>
        <w:t>Văn phòng Chính phủ</w:t>
      </w:r>
      <w:r w:rsidR="00CD76F8">
        <w:rPr>
          <w:shd w:val="clear" w:color="auto" w:fill="FFFFFF"/>
        </w:rPr>
        <w:t xml:space="preserve"> </w:t>
      </w:r>
      <w:r w:rsidRPr="007721C0">
        <w:t xml:space="preserve">thường xuyên tiếp nhận, tổng hợp, chuyển xử lý </w:t>
      </w:r>
      <w:r w:rsidR="001127F9">
        <w:t>PAKN</w:t>
      </w:r>
      <w:r w:rsidRPr="007721C0">
        <w:t xml:space="preserve"> của người dân, cộng đồng doanh nghiệp qua Hệ thống thông tin tiếp nhận và xử lý </w:t>
      </w:r>
      <w:r w:rsidR="001127F9">
        <w:t>PAKN</w:t>
      </w:r>
      <w:r w:rsidRPr="007721C0">
        <w:t xml:space="preserve"> trên Cổng Dịch vụ công quốc gia</w:t>
      </w:r>
      <w:r w:rsidRPr="007721C0">
        <w:rPr>
          <w:rStyle w:val="FootnoteReference"/>
        </w:rPr>
        <w:footnoteReference w:id="23"/>
      </w:r>
      <w:r w:rsidRPr="007721C0">
        <w:rPr>
          <w:lang w:val="en-US"/>
        </w:rPr>
        <w:t>.</w:t>
      </w:r>
    </w:p>
    <w:bookmarkEnd w:id="4"/>
    <w:p w:rsidR="00DB7F0D" w:rsidRPr="007721C0" w:rsidRDefault="00DB7F0D" w:rsidP="00F51789">
      <w:pPr>
        <w:shd w:val="clear" w:color="auto" w:fill="FFFFFF"/>
        <w:spacing w:before="100" w:after="100"/>
        <w:ind w:firstLine="709"/>
        <w:jc w:val="both"/>
        <w:rPr>
          <w:b/>
          <w:lang w:val="en-US"/>
        </w:rPr>
      </w:pPr>
      <w:r w:rsidRPr="007721C0">
        <w:rPr>
          <w:b/>
          <w:lang w:val="en-US"/>
        </w:rPr>
        <w:t>b) Hạn chế, tồn tại và nguyên nhân</w:t>
      </w:r>
    </w:p>
    <w:p w:rsidR="00DB7F0D" w:rsidRPr="007721C0" w:rsidRDefault="00F51789" w:rsidP="00F51789">
      <w:pPr>
        <w:shd w:val="clear" w:color="auto" w:fill="FFFFFF"/>
        <w:spacing w:before="100" w:after="100"/>
        <w:ind w:firstLine="709"/>
        <w:jc w:val="both"/>
        <w:rPr>
          <w:bCs/>
          <w:lang w:val="en-US"/>
        </w:rPr>
      </w:pPr>
      <w:r w:rsidRPr="007721C0">
        <w:rPr>
          <w:bCs/>
          <w:lang w:val="en-US"/>
        </w:rPr>
        <w:t xml:space="preserve">- </w:t>
      </w:r>
      <w:r w:rsidRPr="007721C0">
        <w:t>Tồ</w:t>
      </w:r>
      <w:r w:rsidR="00DB7F0D" w:rsidRPr="007721C0">
        <w:t>n tại, hạn chế</w:t>
      </w:r>
      <w:r w:rsidR="00DB7F0D" w:rsidRPr="007721C0">
        <w:rPr>
          <w:lang w:val="en-US"/>
        </w:rPr>
        <w:t xml:space="preserve">: </w:t>
      </w:r>
      <w:r w:rsidR="00DB7F0D" w:rsidRPr="007721C0">
        <w:rPr>
          <w:b/>
          <w:lang w:val="en-US"/>
        </w:rPr>
        <w:t>(1)</w:t>
      </w:r>
      <w:r w:rsidR="00DB7F0D" w:rsidRPr="007721C0">
        <w:rPr>
          <w:lang w:val="en-US"/>
        </w:rPr>
        <w:t xml:space="preserve"> </w:t>
      </w:r>
      <w:r w:rsidR="00252C1D" w:rsidRPr="007721C0">
        <w:rPr>
          <w:lang w:val="en-US"/>
        </w:rPr>
        <w:t xml:space="preserve">Một số thành viên Tổ công tác chưa phát huy hết vai trò, trách nhiệm trong việc </w:t>
      </w:r>
      <w:r w:rsidR="00263B46" w:rsidRPr="007721C0">
        <w:rPr>
          <w:lang w:val="en-US"/>
        </w:rPr>
        <w:t>theo dõi, chỉ đạo, đôn đốc việc thực hiện mục tiêu, nhiệm vụ, giải pháp về cải cách TTHC</w:t>
      </w:r>
      <w:r w:rsidR="00252C1D" w:rsidRPr="007721C0">
        <w:rPr>
          <w:lang w:val="en-US"/>
        </w:rPr>
        <w:t xml:space="preserve"> tại các bộ, địa phương phụ trách</w:t>
      </w:r>
      <w:r w:rsidR="00263B46" w:rsidRPr="007721C0">
        <w:rPr>
          <w:bCs/>
          <w:lang w:val="en-US"/>
        </w:rPr>
        <w:t xml:space="preserve">; </w:t>
      </w:r>
      <w:r w:rsidR="00263B46" w:rsidRPr="007721C0">
        <w:rPr>
          <w:b/>
          <w:lang w:val="en-US"/>
        </w:rPr>
        <w:t>(2)</w:t>
      </w:r>
      <w:r w:rsidR="00263B46" w:rsidRPr="007721C0">
        <w:rPr>
          <w:lang w:val="en-US"/>
        </w:rPr>
        <w:t xml:space="preserve"> </w:t>
      </w:r>
      <w:bookmarkStart w:id="5" w:name="_Hlk171601491"/>
      <w:r w:rsidR="009403EB" w:rsidRPr="007721C0">
        <w:rPr>
          <w:lang w:val="en-US"/>
        </w:rPr>
        <w:t xml:space="preserve">Việc nghiên cứu, xử lý các </w:t>
      </w:r>
      <w:r w:rsidR="00CD76F8">
        <w:rPr>
          <w:lang w:val="en-US"/>
        </w:rPr>
        <w:t>PAKN</w:t>
      </w:r>
      <w:r w:rsidR="009403EB" w:rsidRPr="007721C0">
        <w:rPr>
          <w:lang w:val="en-US"/>
        </w:rPr>
        <w:t xml:space="preserve"> </w:t>
      </w:r>
      <w:r w:rsidR="004A4315" w:rsidRPr="007721C0">
        <w:rPr>
          <w:lang w:val="en-US"/>
        </w:rPr>
        <w:t>của doanh nghiệp, người dân</w:t>
      </w:r>
      <w:r w:rsidR="007B5DEF" w:rsidRPr="007721C0">
        <w:rPr>
          <w:lang w:val="en-US"/>
        </w:rPr>
        <w:t xml:space="preserve"> và </w:t>
      </w:r>
      <w:r w:rsidR="007D3FDF">
        <w:rPr>
          <w:lang w:val="en-US"/>
        </w:rPr>
        <w:t xml:space="preserve">các thành viên </w:t>
      </w:r>
      <w:r w:rsidR="007B5DEF" w:rsidRPr="007721C0">
        <w:rPr>
          <w:lang w:val="en-US"/>
        </w:rPr>
        <w:t>Hội đồng tư vấn</w:t>
      </w:r>
      <w:r w:rsidR="005105E1" w:rsidRPr="007721C0">
        <w:rPr>
          <w:lang w:val="en-US"/>
        </w:rPr>
        <w:t xml:space="preserve"> </w:t>
      </w:r>
      <w:r w:rsidR="00BE0055" w:rsidRPr="007721C0">
        <w:rPr>
          <w:lang w:val="en-US"/>
        </w:rPr>
        <w:t xml:space="preserve">mặc dù đã được quan tâm nhưng </w:t>
      </w:r>
      <w:r w:rsidR="007D3FDF">
        <w:rPr>
          <w:lang w:val="en-US"/>
        </w:rPr>
        <w:t xml:space="preserve">một số thành viên Tổ công tác vẫn </w:t>
      </w:r>
      <w:r w:rsidR="009403EB" w:rsidRPr="007721C0">
        <w:rPr>
          <w:lang w:val="en-US"/>
        </w:rPr>
        <w:t xml:space="preserve">chưa </w:t>
      </w:r>
      <w:r w:rsidR="00530020" w:rsidRPr="007721C0">
        <w:rPr>
          <w:lang w:val="en-US"/>
        </w:rPr>
        <w:t>giải quyết k</w:t>
      </w:r>
      <w:r w:rsidR="009403EB" w:rsidRPr="007721C0">
        <w:rPr>
          <w:lang w:val="en-US"/>
        </w:rPr>
        <w:t>ịp thời</w:t>
      </w:r>
      <w:bookmarkEnd w:id="5"/>
      <w:r w:rsidR="009403EB" w:rsidRPr="007721C0">
        <w:rPr>
          <w:lang w:val="en-US"/>
        </w:rPr>
        <w:t xml:space="preserve">; </w:t>
      </w:r>
      <w:r w:rsidR="009403EB" w:rsidRPr="007721C0">
        <w:rPr>
          <w:b/>
          <w:lang w:val="en-US"/>
        </w:rPr>
        <w:t>(3)</w:t>
      </w:r>
      <w:r w:rsidR="009403EB" w:rsidRPr="007721C0">
        <w:rPr>
          <w:lang w:val="en-US"/>
        </w:rPr>
        <w:t xml:space="preserve"> </w:t>
      </w:r>
      <w:r w:rsidR="00530020" w:rsidRPr="007721C0">
        <w:rPr>
          <w:lang w:val="en-US"/>
        </w:rPr>
        <w:t>Việc nghiên cứu, đề xuất các sáng kiến, giải pháp thúc đẩy cải cách TTHC, tăng cường kỷ luật, kỷ cương hành chính</w:t>
      </w:r>
      <w:r w:rsidR="007D3FDF">
        <w:rPr>
          <w:lang w:val="en-US"/>
        </w:rPr>
        <w:t xml:space="preserve"> và nâng cao năng lực phản ứng chính sách</w:t>
      </w:r>
      <w:r w:rsidR="00530020" w:rsidRPr="007721C0">
        <w:rPr>
          <w:lang w:val="en-US"/>
        </w:rPr>
        <w:t xml:space="preserve"> chưa được đẩy mạnh.</w:t>
      </w:r>
    </w:p>
    <w:p w:rsidR="00DB7F0D" w:rsidRPr="007721C0" w:rsidRDefault="00F51789" w:rsidP="00F51789">
      <w:pPr>
        <w:shd w:val="clear" w:color="auto" w:fill="FFFFFF"/>
        <w:spacing w:before="100" w:after="100"/>
        <w:ind w:firstLine="709"/>
        <w:jc w:val="both"/>
        <w:rPr>
          <w:bCs/>
          <w:lang w:val="en-US"/>
        </w:rPr>
      </w:pPr>
      <w:r w:rsidRPr="007721C0">
        <w:rPr>
          <w:bCs/>
          <w:lang w:val="en-US"/>
        </w:rPr>
        <w:t xml:space="preserve">- </w:t>
      </w:r>
      <w:r w:rsidR="00DB7F0D" w:rsidRPr="007721C0">
        <w:rPr>
          <w:bCs/>
          <w:lang w:val="en-US"/>
        </w:rPr>
        <w:t xml:space="preserve">Nguyên nhân chủ yếu là do: </w:t>
      </w:r>
      <w:r w:rsidR="00DB7F0D" w:rsidRPr="007721C0">
        <w:rPr>
          <w:b/>
          <w:bCs/>
          <w:lang w:val="en-US"/>
        </w:rPr>
        <w:t>(1)</w:t>
      </w:r>
      <w:r w:rsidR="00DB7F0D" w:rsidRPr="007721C0">
        <w:rPr>
          <w:bCs/>
          <w:lang w:val="en-US"/>
        </w:rPr>
        <w:t xml:space="preserve"> </w:t>
      </w:r>
      <w:r w:rsidR="00581669" w:rsidRPr="007721C0">
        <w:rPr>
          <w:bCs/>
          <w:lang w:val="en-US"/>
        </w:rPr>
        <w:t>C</w:t>
      </w:r>
      <w:r w:rsidR="00DB7F0D" w:rsidRPr="007721C0">
        <w:rPr>
          <w:bCs/>
          <w:lang w:val="en-US"/>
        </w:rPr>
        <w:t xml:space="preserve">ác thành viên Tổ công tác là lãnh đạo các Bộ làm việc theo chế độ kiêm nhiệm; </w:t>
      </w:r>
      <w:r w:rsidR="00DB7F0D" w:rsidRPr="007721C0">
        <w:rPr>
          <w:b/>
          <w:bCs/>
          <w:lang w:val="en-US"/>
        </w:rPr>
        <w:t>(</w:t>
      </w:r>
      <w:r w:rsidR="00581669" w:rsidRPr="007721C0">
        <w:rPr>
          <w:b/>
          <w:bCs/>
          <w:lang w:val="en-US"/>
        </w:rPr>
        <w:t>2</w:t>
      </w:r>
      <w:r w:rsidR="00DB7F0D" w:rsidRPr="007721C0">
        <w:rPr>
          <w:b/>
          <w:bCs/>
          <w:lang w:val="en-US"/>
        </w:rPr>
        <w:t>)</w:t>
      </w:r>
      <w:r w:rsidR="00DB7F0D" w:rsidRPr="007721C0">
        <w:rPr>
          <w:bCs/>
          <w:lang w:val="en-US"/>
        </w:rPr>
        <w:t xml:space="preserve"> </w:t>
      </w:r>
      <w:r w:rsidR="00581669" w:rsidRPr="007721C0">
        <w:rPr>
          <w:bCs/>
          <w:lang w:val="en-US"/>
        </w:rPr>
        <w:t xml:space="preserve">Công tác cải cách TTHC </w:t>
      </w:r>
      <w:r w:rsidR="007D3FDF">
        <w:rPr>
          <w:bCs/>
          <w:lang w:val="en-US"/>
        </w:rPr>
        <w:t xml:space="preserve">tại </w:t>
      </w:r>
      <w:r w:rsidR="00581669" w:rsidRPr="007721C0">
        <w:rPr>
          <w:bCs/>
          <w:lang w:val="en-US"/>
        </w:rPr>
        <w:t>một số cơ quan, đơn vị chưa được quan tâm đúng mức</w:t>
      </w:r>
      <w:r w:rsidR="00FF4B5B" w:rsidRPr="007721C0">
        <w:rPr>
          <w:bCs/>
          <w:lang w:val="en-US"/>
        </w:rPr>
        <w:t xml:space="preserve">; </w:t>
      </w:r>
      <w:r w:rsidR="00581669" w:rsidRPr="007721C0">
        <w:rPr>
          <w:b/>
          <w:bCs/>
          <w:lang w:val="en-US"/>
        </w:rPr>
        <w:t>(3)</w:t>
      </w:r>
      <w:r w:rsidR="00581669" w:rsidRPr="007721C0">
        <w:rPr>
          <w:bCs/>
          <w:lang w:val="en-US"/>
        </w:rPr>
        <w:t xml:space="preserve"> C</w:t>
      </w:r>
      <w:r w:rsidR="00DB7F0D" w:rsidRPr="007721C0">
        <w:rPr>
          <w:bCs/>
          <w:lang w:val="en-US"/>
        </w:rPr>
        <w:t>ông tác phối hợp giữa</w:t>
      </w:r>
      <w:r w:rsidR="007D3FDF">
        <w:rPr>
          <w:bCs/>
          <w:lang w:val="en-US"/>
        </w:rPr>
        <w:t xml:space="preserve"> thành viên Tổ công tác và</w:t>
      </w:r>
      <w:r w:rsidR="00DB7F0D" w:rsidRPr="007721C0">
        <w:rPr>
          <w:bCs/>
          <w:lang w:val="en-US"/>
        </w:rPr>
        <w:t xml:space="preserve"> các bộ, cơ quan, địa phương</w:t>
      </w:r>
      <w:r w:rsidR="007D3FDF">
        <w:rPr>
          <w:bCs/>
          <w:lang w:val="en-US"/>
        </w:rPr>
        <w:t xml:space="preserve"> được phân công theo dõi</w:t>
      </w:r>
      <w:r w:rsidR="00DB7F0D" w:rsidRPr="007721C0">
        <w:rPr>
          <w:bCs/>
          <w:lang w:val="en-US"/>
        </w:rPr>
        <w:t xml:space="preserve"> đôi khi còn chưa </w:t>
      </w:r>
      <w:r w:rsidR="00581669" w:rsidRPr="007721C0">
        <w:rPr>
          <w:bCs/>
          <w:lang w:val="en-US"/>
        </w:rPr>
        <w:t xml:space="preserve">chủ động, </w:t>
      </w:r>
      <w:r w:rsidR="00DB7F0D" w:rsidRPr="007721C0">
        <w:rPr>
          <w:bCs/>
          <w:lang w:val="en-US"/>
        </w:rPr>
        <w:t>chặt chẽ, kịp thời</w:t>
      </w:r>
      <w:r w:rsidR="00581669" w:rsidRPr="007721C0">
        <w:rPr>
          <w:bCs/>
          <w:lang w:val="en-US"/>
        </w:rPr>
        <w:t>.</w:t>
      </w:r>
    </w:p>
    <w:p w:rsidR="00DB7F0D" w:rsidRPr="007721C0" w:rsidRDefault="00DB7F0D" w:rsidP="00F51789">
      <w:pPr>
        <w:shd w:val="clear" w:color="auto" w:fill="FFFFFF"/>
        <w:spacing w:before="100" w:after="100"/>
        <w:ind w:firstLine="709"/>
        <w:jc w:val="both"/>
        <w:rPr>
          <w:b/>
          <w:lang w:val="en-US"/>
        </w:rPr>
      </w:pPr>
      <w:r w:rsidRPr="007721C0">
        <w:rPr>
          <w:b/>
          <w:lang w:val="en-US"/>
        </w:rPr>
        <w:t xml:space="preserve">2. Hội đồng tư vấn cải cách </w:t>
      </w:r>
      <w:r w:rsidR="009E69C1" w:rsidRPr="007721C0">
        <w:rPr>
          <w:b/>
          <w:lang w:val="en-US"/>
        </w:rPr>
        <w:t>TTHC</w:t>
      </w:r>
      <w:r w:rsidRPr="007721C0">
        <w:rPr>
          <w:b/>
          <w:lang w:val="en-US"/>
        </w:rPr>
        <w:t xml:space="preserve"> của Thủ tướng Chính phủ</w:t>
      </w:r>
      <w:r w:rsidR="00395F52" w:rsidRPr="007721C0">
        <w:rPr>
          <w:b/>
          <w:lang w:val="en-US"/>
        </w:rPr>
        <w:t xml:space="preserve"> </w:t>
      </w:r>
    </w:p>
    <w:p w:rsidR="00310C0E" w:rsidRPr="007721C0" w:rsidRDefault="00310C0E" w:rsidP="00F51789">
      <w:pPr>
        <w:shd w:val="clear" w:color="auto" w:fill="FFFFFF"/>
        <w:spacing w:before="100" w:after="100"/>
        <w:ind w:firstLine="709"/>
        <w:jc w:val="both"/>
        <w:rPr>
          <w:b/>
          <w:lang w:val="en-US"/>
        </w:rPr>
      </w:pPr>
      <w:r w:rsidRPr="007721C0">
        <w:rPr>
          <w:b/>
          <w:lang w:val="en-US"/>
        </w:rPr>
        <w:t>a) Kết quả thực hiện</w:t>
      </w:r>
    </w:p>
    <w:p w:rsidR="00310C0E" w:rsidRPr="007721C0" w:rsidRDefault="00310C0E" w:rsidP="00F51789">
      <w:pPr>
        <w:spacing w:before="100" w:after="100"/>
        <w:ind w:firstLine="709"/>
        <w:jc w:val="both"/>
      </w:pPr>
      <w:r w:rsidRPr="007721C0">
        <w:t>- Trên cơ sở Quyết định kiện toàn của Thủ tướng Chính phủ, để kịp thời triển khai các nhiệm vụ được giao và phát huy hơn nữa vai trò “cầu nối” giữa Chính phủ, Thủ tướng Chính phủ với doanh nghiệp và người dân, Chủ tịch Hội đồng tư vấn đã phê duyệt thành viên các Ban Công tác</w:t>
      </w:r>
      <w:r w:rsidRPr="007721C0">
        <w:rPr>
          <w:rStyle w:val="FootnoteReference"/>
        </w:rPr>
        <w:footnoteReference w:id="24"/>
      </w:r>
      <w:r w:rsidRPr="007721C0">
        <w:t>, báo cáo Thủ tướng Chính phủ và Tổ trưởng Tổ công tác về tình hình, kết quả hoạt động năm 2023</w:t>
      </w:r>
      <w:r w:rsidRPr="007721C0">
        <w:rPr>
          <w:rStyle w:val="FootnoteReference"/>
        </w:rPr>
        <w:footnoteReference w:id="25"/>
      </w:r>
      <w:r w:rsidRPr="007721C0">
        <w:t xml:space="preserve"> và ban hành </w:t>
      </w:r>
      <w:r w:rsidRPr="007721C0">
        <w:rPr>
          <w:lang w:val="en-US"/>
        </w:rPr>
        <w:t>K</w:t>
      </w:r>
      <w:r w:rsidRPr="007721C0">
        <w:t>ế hoạch hoạt động năm 2024</w:t>
      </w:r>
      <w:r w:rsidRPr="007721C0">
        <w:rPr>
          <w:rStyle w:val="FootnoteReference"/>
        </w:rPr>
        <w:footnoteReference w:id="26"/>
      </w:r>
      <w:r w:rsidRPr="007721C0">
        <w:t xml:space="preserve"> của Hội đồng tư vấn với 23 nhiệm vụ trọng tâm (10 nhiệm vụ chung; 05 nhiệm vụ nghiên cứu, đề xuất sáng kiến cải cách; 08 nhiệm vụ đánh giá việc thực hiện cải cách TTHC).</w:t>
      </w:r>
    </w:p>
    <w:p w:rsidR="00310C0E" w:rsidRPr="007721C0" w:rsidRDefault="00310C0E" w:rsidP="00F51789">
      <w:pPr>
        <w:widowControl w:val="0"/>
        <w:snapToGrid w:val="0"/>
        <w:spacing w:before="100" w:after="100"/>
        <w:ind w:firstLine="709"/>
        <w:jc w:val="both"/>
        <w:rPr>
          <w:lang w:val="vi-VN"/>
        </w:rPr>
      </w:pPr>
      <w:r w:rsidRPr="007721C0">
        <w:t xml:space="preserve">- </w:t>
      </w:r>
      <w:r w:rsidRPr="007721C0">
        <w:rPr>
          <w:lang w:val="vi-VN"/>
        </w:rPr>
        <w:t>Hội đồng tư vấn đã tổ chức 02 h</w:t>
      </w:r>
      <w:r w:rsidRPr="007721C0">
        <w:t>ội</w:t>
      </w:r>
      <w:r w:rsidRPr="007721C0">
        <w:rPr>
          <w:lang w:val="vi-VN"/>
        </w:rPr>
        <w:t xml:space="preserve"> nghị triển khai </w:t>
      </w:r>
      <w:r w:rsidR="001127F9">
        <w:rPr>
          <w:lang w:val="en-US"/>
        </w:rPr>
        <w:t xml:space="preserve">kế hoạch </w:t>
      </w:r>
      <w:r w:rsidRPr="007721C0">
        <w:rPr>
          <w:lang w:val="vi-VN"/>
        </w:rPr>
        <w:t xml:space="preserve">hoạt động </w:t>
      </w:r>
      <w:r w:rsidRPr="007721C0">
        <w:t>năm 2024</w:t>
      </w:r>
      <w:r w:rsidRPr="007721C0">
        <w:rPr>
          <w:lang w:val="vi-VN"/>
        </w:rPr>
        <w:t xml:space="preserve"> </w:t>
      </w:r>
      <w:r w:rsidRPr="007721C0">
        <w:t>và tập huấn</w:t>
      </w:r>
      <w:r w:rsidRPr="007721C0">
        <w:rPr>
          <w:lang w:val="vi-VN"/>
        </w:rPr>
        <w:t xml:space="preserve"> nâng cao năng lực của các Ban công tác, thành viên Hội đồng trong việc nghiên cứu, </w:t>
      </w:r>
      <w:r w:rsidRPr="007721C0">
        <w:t xml:space="preserve">đề xuất sáng kiến cải cách, tham gia ý kiến, </w:t>
      </w:r>
      <w:r w:rsidRPr="007721C0">
        <w:rPr>
          <w:color w:val="000000"/>
          <w:lang w:val="vi-VN"/>
        </w:rPr>
        <w:t xml:space="preserve">tổng hợp </w:t>
      </w:r>
      <w:r w:rsidR="001127F9">
        <w:rPr>
          <w:color w:val="000000"/>
          <w:lang w:val="en-US"/>
        </w:rPr>
        <w:t>PAKN</w:t>
      </w:r>
      <w:r w:rsidRPr="007721C0">
        <w:rPr>
          <w:color w:val="000000"/>
        </w:rPr>
        <w:t xml:space="preserve"> về cơ chế, chính sách, TTHC là rào cản cho hoạt động sản xuất, kinh doanh </w:t>
      </w:r>
      <w:r w:rsidRPr="007721C0">
        <w:rPr>
          <w:color w:val="000000"/>
        </w:rPr>
        <w:lastRenderedPageBreak/>
        <w:t>của doanh nghiệp và đời sống của người dân</w:t>
      </w:r>
      <w:r w:rsidRPr="007721C0">
        <w:rPr>
          <w:rStyle w:val="FootnoteReference"/>
          <w:color w:val="000000"/>
        </w:rPr>
        <w:footnoteReference w:id="27"/>
      </w:r>
      <w:r w:rsidRPr="007721C0">
        <w:rPr>
          <w:lang w:val="vi-VN"/>
        </w:rPr>
        <w:t>.</w:t>
      </w:r>
    </w:p>
    <w:p w:rsidR="00310C0E" w:rsidRPr="007721C0" w:rsidRDefault="00310C0E" w:rsidP="00F51789">
      <w:pPr>
        <w:spacing w:before="100" w:after="100"/>
        <w:ind w:firstLine="709"/>
        <w:jc w:val="both"/>
        <w:rPr>
          <w:lang w:val="vi-VN"/>
        </w:rPr>
      </w:pPr>
      <w:r w:rsidRPr="007721C0">
        <w:t>- Về nghiên cứu, đề xuất các sáng kiến cải cách cơ chế, chính sách, TTHC, góp phần cải thiện môi trường kinh doanh</w:t>
      </w:r>
      <w:r w:rsidR="00F0618E" w:rsidRPr="007721C0">
        <w:t>:</w:t>
      </w:r>
      <w:r w:rsidRPr="007721C0">
        <w:rPr>
          <w:lang w:val="vi-VN"/>
        </w:rPr>
        <w:t xml:space="preserve"> </w:t>
      </w:r>
    </w:p>
    <w:p w:rsidR="00310C0E" w:rsidRPr="007721C0" w:rsidRDefault="00310C0E" w:rsidP="00F51789">
      <w:pPr>
        <w:spacing w:before="100" w:after="100"/>
        <w:ind w:firstLine="709"/>
        <w:jc w:val="both"/>
        <w:rPr>
          <w:lang w:val="vi-VN"/>
        </w:rPr>
      </w:pPr>
      <w:r w:rsidRPr="007721C0">
        <w:rPr>
          <w:lang w:val="vi-VN"/>
        </w:rPr>
        <w:t xml:space="preserve">+ </w:t>
      </w:r>
      <w:r w:rsidR="00F0618E" w:rsidRPr="007721C0">
        <w:rPr>
          <w:lang w:val="en-US"/>
        </w:rPr>
        <w:t>C</w:t>
      </w:r>
      <w:r w:rsidRPr="007721C0">
        <w:rPr>
          <w:lang w:val="vi-VN"/>
        </w:rPr>
        <w:t>ác Ban công tác và thành viên Hội đồng tư vấn</w:t>
      </w:r>
      <w:r w:rsidR="00F0618E" w:rsidRPr="007721C0">
        <w:rPr>
          <w:lang w:val="en-US"/>
        </w:rPr>
        <w:t xml:space="preserve"> đã </w:t>
      </w:r>
      <w:r w:rsidR="00F0618E" w:rsidRPr="007721C0">
        <w:rPr>
          <w:lang w:val="vi-VN"/>
        </w:rPr>
        <w:t>thành lập các nhóm công tác nghiên cứu chuyên sâu kinh nghiệm trong nước, quốc tế và tổ chức khảo sát, lấy ý kiến cộng đồng doanh nghiệp</w:t>
      </w:r>
      <w:r w:rsidR="00F0618E" w:rsidRPr="007721C0">
        <w:rPr>
          <w:lang w:val="en-US"/>
        </w:rPr>
        <w:t xml:space="preserve"> để</w:t>
      </w:r>
      <w:r w:rsidRPr="007721C0">
        <w:rPr>
          <w:lang w:val="vi-VN"/>
        </w:rPr>
        <w:t xml:space="preserve"> xây dựng 07 báo cáo chuyên đề sáng kiến cải cách cơ chế, chính sách, TTHC liên quan đến các lĩnh vực: </w:t>
      </w:r>
      <w:r w:rsidRPr="007721C0">
        <w:t>Đ</w:t>
      </w:r>
      <w:r w:rsidRPr="007721C0">
        <w:rPr>
          <w:lang w:val="vi-VN"/>
        </w:rPr>
        <w:t>ầu tư, phát triển năng lượng tái tạo, ngân hàng, chuyển đổi xanh, chuyển đổi số, phát triển công nghiệp bán dẫn</w:t>
      </w:r>
      <w:r w:rsidRPr="007721C0">
        <w:t>,…</w:t>
      </w:r>
      <w:r w:rsidR="00F0618E" w:rsidRPr="007721C0">
        <w:rPr>
          <w:lang w:val="en-US"/>
        </w:rPr>
        <w:t xml:space="preserve"> </w:t>
      </w:r>
      <w:r w:rsidR="002F11E0" w:rsidRPr="007721C0">
        <w:rPr>
          <w:lang w:val="en-US"/>
        </w:rPr>
        <w:t>Hiện nay</w:t>
      </w:r>
      <w:r w:rsidR="002F11E0">
        <w:rPr>
          <w:lang w:val="vi-VN"/>
        </w:rPr>
        <w:t>, dự thảo Báo cáo về “Mức độ sẵn sàng và rào cản của doanh nghiệp trong chuyển đổi xanh” (do Ban IV chủ trì nghiên cứu, xây dựng) đã hoàn thiện và đang được các thành viên Hội đồng tư vấn nghiên cứu, tham gia ý kiến;</w:t>
      </w:r>
      <w:r w:rsidR="002F11E0" w:rsidRPr="007721C0">
        <w:rPr>
          <w:lang w:val="en-US"/>
        </w:rPr>
        <w:t xml:space="preserve"> các</w:t>
      </w:r>
      <w:r w:rsidR="002F11E0" w:rsidRPr="007721C0">
        <w:rPr>
          <w:lang w:val="vi-VN"/>
        </w:rPr>
        <w:t xml:space="preserve"> dự thảo Báo cáo</w:t>
      </w:r>
      <w:r w:rsidR="002F11E0" w:rsidRPr="007721C0">
        <w:rPr>
          <w:lang w:val="en-US"/>
        </w:rPr>
        <w:t xml:space="preserve"> </w:t>
      </w:r>
      <w:r w:rsidR="002F11E0">
        <w:rPr>
          <w:lang w:val="vi-VN"/>
        </w:rPr>
        <w:t xml:space="preserve">còn lại </w:t>
      </w:r>
      <w:r w:rsidR="002F11E0" w:rsidRPr="007721C0">
        <w:rPr>
          <w:lang w:val="en-US"/>
        </w:rPr>
        <w:t>đang được hoàn thiện</w:t>
      </w:r>
      <w:r w:rsidR="002F11E0" w:rsidRPr="007721C0">
        <w:rPr>
          <w:lang w:val="vi-VN"/>
        </w:rPr>
        <w:t>, dự kiến sẽ trình Lãnh đạo Hội đồng tư vấn, báo cáo Thủ tướng Chính phủ và Phó Thủ tướng Chính phủ - Tổ trưởng Tổ công tác theo đúng Kế hoạch đề ra</w:t>
      </w:r>
      <w:r w:rsidRPr="007721C0">
        <w:rPr>
          <w:lang w:val="vi-VN"/>
        </w:rPr>
        <w:t xml:space="preserve">. </w:t>
      </w:r>
    </w:p>
    <w:p w:rsidR="00310C0E" w:rsidRPr="007721C0" w:rsidRDefault="00310C0E" w:rsidP="00F51789">
      <w:pPr>
        <w:spacing w:before="100" w:after="100"/>
        <w:ind w:firstLine="709"/>
        <w:jc w:val="both"/>
      </w:pPr>
      <w:r w:rsidRPr="007721C0">
        <w:rPr>
          <w:lang w:val="vi-VN"/>
        </w:rPr>
        <w:t xml:space="preserve">+ </w:t>
      </w:r>
      <w:r w:rsidRPr="007721C0">
        <w:t>C</w:t>
      </w:r>
      <w:r w:rsidRPr="007721C0">
        <w:rPr>
          <w:lang w:val="vi-VN"/>
        </w:rPr>
        <w:t xml:space="preserve">ác Ban công tác và thành viên Hội đồng tư vấn </w:t>
      </w:r>
      <w:r w:rsidRPr="007721C0">
        <w:t xml:space="preserve">đã nghiên cứu, đóng góp ý kiến </w:t>
      </w:r>
      <w:r w:rsidRPr="007721C0">
        <w:rPr>
          <w:lang w:val="vi-VN"/>
        </w:rPr>
        <w:t>đối với</w:t>
      </w:r>
      <w:r w:rsidRPr="007721C0">
        <w:t xml:space="preserve"> các</w:t>
      </w:r>
      <w:r w:rsidR="001127F9">
        <w:t xml:space="preserve"> quy định TTHC trong</w:t>
      </w:r>
      <w:r w:rsidRPr="007721C0">
        <w:t xml:space="preserve"> </w:t>
      </w:r>
      <w:r w:rsidRPr="007721C0">
        <w:rPr>
          <w:lang w:val="vi-VN"/>
        </w:rPr>
        <w:t>dự thả</w:t>
      </w:r>
      <w:r w:rsidRPr="007721C0">
        <w:t>o</w:t>
      </w:r>
      <w:r w:rsidRPr="007721C0">
        <w:rPr>
          <w:lang w:val="vi-VN"/>
        </w:rPr>
        <w:t xml:space="preserve"> </w:t>
      </w:r>
      <w:r w:rsidRPr="007721C0">
        <w:t>VBQPPL, dự thảo</w:t>
      </w:r>
      <w:r w:rsidRPr="007721C0">
        <w:rPr>
          <w:lang w:val="vi-VN"/>
        </w:rPr>
        <w:t xml:space="preserve"> </w:t>
      </w:r>
      <w:r w:rsidRPr="007721C0">
        <w:rPr>
          <w:kern w:val="28"/>
        </w:rPr>
        <w:t xml:space="preserve">phương án </w:t>
      </w:r>
      <w:r w:rsidRPr="007721C0">
        <w:rPr>
          <w:kern w:val="28"/>
          <w:lang w:val="vi-VN"/>
        </w:rPr>
        <w:t xml:space="preserve">cắt giảm, đơn giản hóa quy định liên quan đến QĐKD </w:t>
      </w:r>
      <w:r w:rsidRPr="007721C0">
        <w:rPr>
          <w:kern w:val="28"/>
        </w:rPr>
        <w:t xml:space="preserve">của </w:t>
      </w:r>
      <w:r w:rsidRPr="007721C0">
        <w:t>các bộ, ngành gửi lấy ý kiến</w:t>
      </w:r>
      <w:r w:rsidRPr="007721C0">
        <w:rPr>
          <w:rStyle w:val="FootnoteReference"/>
          <w:b/>
          <w:color w:val="000000" w:themeColor="text1"/>
          <w:lang w:val="vi-VN"/>
        </w:rPr>
        <w:footnoteReference w:id="28"/>
      </w:r>
      <w:r w:rsidRPr="007721C0">
        <w:t>.</w:t>
      </w:r>
      <w:r w:rsidRPr="007721C0">
        <w:rPr>
          <w:lang w:val="vi-VN"/>
        </w:rPr>
        <w:t xml:space="preserve"> </w:t>
      </w:r>
      <w:r w:rsidRPr="007721C0">
        <w:rPr>
          <w:color w:val="000000" w:themeColor="text1"/>
        </w:rPr>
        <w:t>Ý kiến của các thành viên Hội đồng tư vấn</w:t>
      </w:r>
      <w:r w:rsidRPr="007721C0">
        <w:t xml:space="preserve"> đã được</w:t>
      </w:r>
      <w:r w:rsidRPr="007721C0">
        <w:rPr>
          <w:lang w:val="vi-VN"/>
        </w:rPr>
        <w:t xml:space="preserve"> </w:t>
      </w:r>
      <w:r w:rsidRPr="007721C0">
        <w:t xml:space="preserve">cơ quan chủ trì soạn </w:t>
      </w:r>
      <w:r w:rsidRPr="007721C0">
        <w:lastRenderedPageBreak/>
        <w:t>thảo nghiên cứu tiếp thu trong quá trình hoàn thiện</w:t>
      </w:r>
      <w:r w:rsidRPr="007721C0">
        <w:rPr>
          <w:lang w:val="vi-VN"/>
        </w:rPr>
        <w:t xml:space="preserve"> các </w:t>
      </w:r>
      <w:r w:rsidRPr="007721C0">
        <w:t xml:space="preserve">dự thảo VBQPPL và </w:t>
      </w:r>
      <w:r w:rsidRPr="007721C0">
        <w:rPr>
          <w:lang w:val="vi-VN"/>
        </w:rPr>
        <w:t>phương án cắt giảm, đơn giản hóa</w:t>
      </w:r>
      <w:r w:rsidRPr="007721C0">
        <w:t>;</w:t>
      </w:r>
      <w:r w:rsidRPr="007721C0">
        <w:rPr>
          <w:lang w:val="vi-VN"/>
        </w:rPr>
        <w:t xml:space="preserve"> </w:t>
      </w:r>
      <w:r w:rsidRPr="007721C0">
        <w:t xml:space="preserve">qua đó, góp phần tích cực đối với kết quả cải cách TTHC. </w:t>
      </w:r>
    </w:p>
    <w:p w:rsidR="00310C0E" w:rsidRPr="007721C0" w:rsidRDefault="00310C0E" w:rsidP="00F51789">
      <w:pPr>
        <w:spacing w:before="100" w:after="100"/>
        <w:ind w:firstLine="709"/>
        <w:jc w:val="both"/>
        <w:rPr>
          <w:lang w:val="vi-VN"/>
        </w:rPr>
      </w:pPr>
      <w:r w:rsidRPr="007721C0">
        <w:rPr>
          <w:lang w:val="vi-VN"/>
        </w:rPr>
        <w:t xml:space="preserve">Ngoài ra, các thành viên Hội đồng </w:t>
      </w:r>
      <w:r w:rsidRPr="007721C0">
        <w:t xml:space="preserve">tư vấn </w:t>
      </w:r>
      <w:r w:rsidRPr="007721C0">
        <w:rPr>
          <w:lang w:val="vi-VN"/>
        </w:rPr>
        <w:t xml:space="preserve">đã chủ động tổ chức </w:t>
      </w:r>
      <w:r w:rsidRPr="007721C0">
        <w:rPr>
          <w:bCs/>
          <w:lang w:val="vi-VN"/>
        </w:rPr>
        <w:t>các hội nghị, hội thảo, tọa đàm để phổ biến, tham vấn về cơ chế chính sách và đào tạo, tập huấn, nâng cao năng lực cho các doanh nghiệp hội viên thuộc hiệp hội</w:t>
      </w:r>
      <w:r w:rsidRPr="007721C0">
        <w:rPr>
          <w:rStyle w:val="FootnoteReference"/>
          <w:b/>
          <w:bCs/>
          <w:lang w:val="vi-VN"/>
        </w:rPr>
        <w:footnoteReference w:id="29"/>
      </w:r>
      <w:r w:rsidRPr="007721C0">
        <w:rPr>
          <w:bCs/>
          <w:lang w:val="vi-VN"/>
        </w:rPr>
        <w:t xml:space="preserve">. </w:t>
      </w:r>
    </w:p>
    <w:p w:rsidR="00310C0E" w:rsidRPr="007721C0" w:rsidRDefault="00310C0E" w:rsidP="00F51789">
      <w:pPr>
        <w:spacing w:before="100" w:after="100"/>
        <w:ind w:firstLine="709"/>
        <w:jc w:val="both"/>
      </w:pPr>
      <w:r w:rsidRPr="007721C0">
        <w:t>- Về đánh giá</w:t>
      </w:r>
      <w:r w:rsidR="001127F9">
        <w:t xml:space="preserve"> độc lập</w:t>
      </w:r>
      <w:r w:rsidRPr="007721C0">
        <w:t xml:space="preserve"> hiệu quả hoạt động cải cách TTHC của các bộ, ngành, địa phương: </w:t>
      </w:r>
      <w:r w:rsidRPr="007721C0">
        <w:rPr>
          <w:lang w:val="vi-VN"/>
        </w:rPr>
        <w:t>Hiện nay, các Ban công tác và thành viên Hội đồng tư vấn đang triển khai</w:t>
      </w:r>
      <w:r w:rsidRPr="007721C0">
        <w:t xml:space="preserve"> </w:t>
      </w:r>
      <w:r w:rsidRPr="007721C0">
        <w:rPr>
          <w:lang w:val="vi-VN"/>
        </w:rPr>
        <w:t>nghiên cứu</w:t>
      </w:r>
      <w:r w:rsidR="00F0618E" w:rsidRPr="007721C0">
        <w:rPr>
          <w:lang w:val="en-US"/>
        </w:rPr>
        <w:t xml:space="preserve"> để</w:t>
      </w:r>
      <w:r w:rsidRPr="007721C0">
        <w:rPr>
          <w:lang w:val="vi-VN"/>
        </w:rPr>
        <w:t xml:space="preserve"> xây dựng </w:t>
      </w:r>
      <w:r w:rsidRPr="007721C0">
        <w:t>06 báo cáo chuyên đề đánh giá việc thực hiện cải cách TTHC</w:t>
      </w:r>
      <w:r w:rsidR="00F0618E" w:rsidRPr="007721C0">
        <w:t xml:space="preserve"> về </w:t>
      </w:r>
      <w:r w:rsidR="00F0618E" w:rsidRPr="007721C0">
        <w:rPr>
          <w:lang w:val="vi-VN"/>
        </w:rPr>
        <w:t xml:space="preserve">kết quả triển khai </w:t>
      </w:r>
      <w:r w:rsidR="00F0618E" w:rsidRPr="007721C0">
        <w:t xml:space="preserve">Chương trình cắt giảm, đơn giản hóa </w:t>
      </w:r>
      <w:r w:rsidR="00F0618E" w:rsidRPr="007721C0">
        <w:rPr>
          <w:lang w:val="vi-VN"/>
        </w:rPr>
        <w:t>QĐKD</w:t>
      </w:r>
      <w:r w:rsidR="00F0618E" w:rsidRPr="007721C0">
        <w:t xml:space="preserve"> giai đoạn 2020-2025 theo Nghị quyết số 68/NQ-CP ngày 12 tháng 5 năm 2020 của Chính phủ; rà soát các vướng mắc, chồng chéo của các </w:t>
      </w:r>
      <w:r w:rsidR="00A1051A" w:rsidRPr="007721C0">
        <w:t>VB</w:t>
      </w:r>
      <w:r w:rsidR="00F0618E" w:rsidRPr="007721C0">
        <w:rPr>
          <w:lang w:val="vi-VN"/>
        </w:rPr>
        <w:t xml:space="preserve">QPPL </w:t>
      </w:r>
      <w:r w:rsidR="00F0618E" w:rsidRPr="007721C0">
        <w:t xml:space="preserve">về kinh doanh; đánh giá chất lượng thực thi pháp luật và giải quyết TTHC về đầu tư, kinh doanh tại một số vùng kinh tế; khảo sát, đánh giá thực trạng cung cấp TTHC/dịch vụ </w:t>
      </w:r>
      <w:r w:rsidR="00F0618E" w:rsidRPr="007721C0">
        <w:lastRenderedPageBreak/>
        <w:t>công cho doanh nghiệp</w:t>
      </w:r>
      <w:r w:rsidR="00F0618E" w:rsidRPr="007721C0">
        <w:rPr>
          <w:lang w:val="vi-VN"/>
        </w:rPr>
        <w:t>; đánh giá năng lực điểm đến du lịch.</w:t>
      </w:r>
      <w:r w:rsidRPr="007721C0">
        <w:rPr>
          <w:lang w:val="vi-VN"/>
        </w:rPr>
        <w:t xml:space="preserve"> </w:t>
      </w:r>
      <w:r w:rsidR="00F0618E" w:rsidRPr="007721C0">
        <w:rPr>
          <w:lang w:val="en-US"/>
        </w:rPr>
        <w:t>D</w:t>
      </w:r>
      <w:r w:rsidRPr="007721C0">
        <w:rPr>
          <w:lang w:val="vi-VN"/>
        </w:rPr>
        <w:t xml:space="preserve">ự kiến trong 06 tháng cuối năm sẽ trình Lãnh đạo Hội đồng tư vấn các báo cáo </w:t>
      </w:r>
      <w:r w:rsidR="00F0618E" w:rsidRPr="007721C0">
        <w:rPr>
          <w:lang w:val="en-US"/>
        </w:rPr>
        <w:t>này.</w:t>
      </w:r>
      <w:r w:rsidRPr="007721C0">
        <w:t xml:space="preserve"> </w:t>
      </w:r>
    </w:p>
    <w:p w:rsidR="00310C0E" w:rsidRPr="001127F9" w:rsidRDefault="00310C0E" w:rsidP="00F51789">
      <w:pPr>
        <w:spacing w:before="100" w:after="100"/>
        <w:ind w:firstLine="709"/>
        <w:jc w:val="both"/>
        <w:rPr>
          <w:spacing w:val="-2"/>
          <w:lang w:val="vi-VN"/>
        </w:rPr>
      </w:pPr>
      <w:r w:rsidRPr="001127F9">
        <w:rPr>
          <w:spacing w:val="-2"/>
        </w:rPr>
        <w:t>-</w:t>
      </w:r>
      <w:r w:rsidRPr="001127F9">
        <w:rPr>
          <w:spacing w:val="-2"/>
          <w:lang w:val="vi-VN"/>
        </w:rPr>
        <w:t xml:space="preserve"> Thực hiện </w:t>
      </w:r>
      <w:r w:rsidRPr="001127F9">
        <w:rPr>
          <w:spacing w:val="-2"/>
        </w:rPr>
        <w:t xml:space="preserve">Kế hoạch hoạt động và </w:t>
      </w:r>
      <w:r w:rsidRPr="001127F9">
        <w:rPr>
          <w:spacing w:val="-2"/>
          <w:lang w:val="vi-VN"/>
        </w:rPr>
        <w:t xml:space="preserve">nhiệm vụ được </w:t>
      </w:r>
      <w:r w:rsidRPr="001127F9">
        <w:rPr>
          <w:spacing w:val="-2"/>
        </w:rPr>
        <w:t xml:space="preserve">Chính phủ, </w:t>
      </w:r>
      <w:r w:rsidRPr="001127F9">
        <w:rPr>
          <w:spacing w:val="-2"/>
          <w:lang w:val="vi-VN"/>
        </w:rPr>
        <w:t xml:space="preserve">Thủ tướng Chính phủ giao, hằng tháng các Ban công tác và thành viên Hội đồng tư vấn đã chủ động tổng hợp </w:t>
      </w:r>
      <w:r w:rsidRPr="001127F9">
        <w:rPr>
          <w:spacing w:val="-2"/>
        </w:rPr>
        <w:t>PAKN</w:t>
      </w:r>
      <w:r w:rsidRPr="001127F9">
        <w:rPr>
          <w:spacing w:val="-2"/>
          <w:lang w:val="vi-VN"/>
        </w:rPr>
        <w:t xml:space="preserve"> về khó khăn, vướng mắc liên quan đến cơ chế, chính sách, TTHC đang là rào cản cho hoạt động sản xuất, kinh doanh của doanh nghiệp, đời sống của người dân, </w:t>
      </w:r>
      <w:r w:rsidRPr="001127F9">
        <w:rPr>
          <w:spacing w:val="-2"/>
        </w:rPr>
        <w:t>kịp thời báo cáo Tổ công tác</w:t>
      </w:r>
      <w:r w:rsidRPr="001127F9">
        <w:rPr>
          <w:spacing w:val="-2"/>
          <w:lang w:val="vi-VN"/>
        </w:rPr>
        <w:t xml:space="preserve"> </w:t>
      </w:r>
      <w:r w:rsidRPr="001127F9">
        <w:rPr>
          <w:spacing w:val="-2"/>
        </w:rPr>
        <w:t xml:space="preserve">xem xét, chỉ đạo các bộ, cơ quan, địa phương liên quan </w:t>
      </w:r>
      <w:r w:rsidRPr="001127F9">
        <w:rPr>
          <w:spacing w:val="-2"/>
          <w:lang w:val="vi-VN"/>
        </w:rPr>
        <w:t>nghiên cứu, xử lý theo thẩm quyền</w:t>
      </w:r>
      <w:r w:rsidRPr="001127F9">
        <w:rPr>
          <w:rStyle w:val="FootnoteReference"/>
          <w:b/>
          <w:spacing w:val="-2"/>
          <w:lang w:val="vi-VN"/>
        </w:rPr>
        <w:footnoteReference w:id="30"/>
      </w:r>
      <w:r w:rsidRPr="001127F9">
        <w:rPr>
          <w:spacing w:val="-2"/>
          <w:lang w:val="vi-VN"/>
        </w:rPr>
        <w:t xml:space="preserve">. </w:t>
      </w:r>
      <w:r w:rsidR="007A078C" w:rsidRPr="001127F9">
        <w:rPr>
          <w:spacing w:val="-2"/>
          <w:lang w:val="vi-VN"/>
        </w:rPr>
        <w:t xml:space="preserve">Trong 6 tháng đầu năm 2024, </w:t>
      </w:r>
      <w:r w:rsidR="007A078C" w:rsidRPr="001127F9">
        <w:rPr>
          <w:spacing w:val="-2"/>
        </w:rPr>
        <w:t>Hội đồng tư vấn đã tổng hợp</w:t>
      </w:r>
      <w:r w:rsidR="007A078C" w:rsidRPr="001127F9">
        <w:rPr>
          <w:spacing w:val="-2"/>
          <w:lang w:val="vi-VN"/>
        </w:rPr>
        <w:t xml:space="preserve"> 81</w:t>
      </w:r>
      <w:r w:rsidR="007A078C" w:rsidRPr="001127F9">
        <w:rPr>
          <w:spacing w:val="-2"/>
        </w:rPr>
        <w:t xml:space="preserve"> </w:t>
      </w:r>
      <w:r w:rsidR="007A078C" w:rsidRPr="001127F9">
        <w:rPr>
          <w:spacing w:val="-2"/>
          <w:lang w:val="vi-VN"/>
        </w:rPr>
        <w:t>PAKN liên quan đến khó khăn, vướng mắc của các hiệp hội doanh nghiệp về cơ chế, chính sách, TTHC chuyển Tổ công tác chỉ đạo các bộ, ngành, địa phương xem xét, tháo gỡ</w:t>
      </w:r>
      <w:r w:rsidR="007A078C" w:rsidRPr="001127F9">
        <w:rPr>
          <w:spacing w:val="-2"/>
        </w:rPr>
        <w:t>.</w:t>
      </w:r>
      <w:r w:rsidR="007A078C" w:rsidRPr="001127F9">
        <w:rPr>
          <w:spacing w:val="-2"/>
          <w:lang w:val="vi-VN"/>
        </w:rPr>
        <w:t xml:space="preserve"> </w:t>
      </w:r>
      <w:r w:rsidR="007A078C" w:rsidRPr="001127F9">
        <w:rPr>
          <w:spacing w:val="-2"/>
        </w:rPr>
        <w:t xml:space="preserve">Đến nay, các bộ, cơ quan đã có văn bản trả lời </w:t>
      </w:r>
      <w:r w:rsidR="007A078C" w:rsidRPr="001127F9">
        <w:rPr>
          <w:spacing w:val="-2"/>
          <w:lang w:val="vi-VN"/>
        </w:rPr>
        <w:t xml:space="preserve">đối với </w:t>
      </w:r>
      <w:r w:rsidR="00214CC7" w:rsidRPr="001127F9">
        <w:rPr>
          <w:spacing w:val="-2"/>
          <w:lang w:val="en-US"/>
        </w:rPr>
        <w:t>81</w:t>
      </w:r>
      <w:r w:rsidR="007A078C" w:rsidRPr="001127F9">
        <w:rPr>
          <w:spacing w:val="-2"/>
        </w:rPr>
        <w:t>/</w:t>
      </w:r>
      <w:r w:rsidR="007A078C" w:rsidRPr="001127F9">
        <w:rPr>
          <w:spacing w:val="-2"/>
          <w:lang w:val="vi-VN"/>
        </w:rPr>
        <w:t xml:space="preserve">81 </w:t>
      </w:r>
      <w:r w:rsidR="007A078C" w:rsidRPr="001127F9">
        <w:rPr>
          <w:spacing w:val="-2"/>
        </w:rPr>
        <w:t xml:space="preserve">PAKN của </w:t>
      </w:r>
      <w:r w:rsidR="007A078C" w:rsidRPr="001127F9">
        <w:rPr>
          <w:spacing w:val="-2"/>
          <w:lang w:val="vi-VN"/>
        </w:rPr>
        <w:t xml:space="preserve">các hiệp hội doanh nghiệp thành viên </w:t>
      </w:r>
      <w:r w:rsidR="007A078C" w:rsidRPr="001127F9">
        <w:rPr>
          <w:spacing w:val="-2"/>
        </w:rPr>
        <w:t xml:space="preserve">Hội đồng tư vấn (đạt </w:t>
      </w:r>
      <w:r w:rsidR="00214CC7" w:rsidRPr="001127F9">
        <w:rPr>
          <w:spacing w:val="-2"/>
          <w:lang w:val="en-US"/>
        </w:rPr>
        <w:t>100</w:t>
      </w:r>
      <w:r w:rsidR="007A078C" w:rsidRPr="001127F9">
        <w:rPr>
          <w:spacing w:val="-2"/>
        </w:rPr>
        <w:t>%)</w:t>
      </w:r>
      <w:r w:rsidR="007A078C" w:rsidRPr="001127F9">
        <w:rPr>
          <w:spacing w:val="-2"/>
          <w:lang w:val="vi-VN"/>
        </w:rPr>
        <w:t xml:space="preserve">. </w:t>
      </w:r>
      <w:r w:rsidR="007A078C" w:rsidRPr="001127F9">
        <w:rPr>
          <w:spacing w:val="-2"/>
          <w:lang w:val="en-US"/>
        </w:rPr>
        <w:t xml:space="preserve"> </w:t>
      </w:r>
      <w:r w:rsidRPr="001127F9">
        <w:rPr>
          <w:spacing w:val="-2"/>
          <w:lang w:val="vi-VN"/>
        </w:rPr>
        <w:t xml:space="preserve">Bên cạnh các nhiệm vụ chính được giao, các thành viên Hội đồng tư vấn đã tích cực, </w:t>
      </w:r>
      <w:r w:rsidRPr="001127F9">
        <w:rPr>
          <w:bCs/>
          <w:spacing w:val="-2"/>
          <w:lang w:val="vi-VN"/>
        </w:rPr>
        <w:t xml:space="preserve">chủ động tổng hợp </w:t>
      </w:r>
      <w:r w:rsidR="001127F9" w:rsidRPr="001127F9">
        <w:rPr>
          <w:bCs/>
          <w:spacing w:val="-2"/>
          <w:lang w:val="en-US"/>
        </w:rPr>
        <w:t>PAKN</w:t>
      </w:r>
      <w:r w:rsidRPr="001127F9">
        <w:rPr>
          <w:bCs/>
          <w:spacing w:val="-2"/>
          <w:lang w:val="vi-VN"/>
        </w:rPr>
        <w:t xml:space="preserve"> từ phía các doanh nghiệp hội viên; </w:t>
      </w:r>
      <w:r w:rsidRPr="001127F9">
        <w:rPr>
          <w:bCs/>
          <w:spacing w:val="-2"/>
        </w:rPr>
        <w:t xml:space="preserve">phối hợp với các bộ, cơ quan liên quan </w:t>
      </w:r>
      <w:r w:rsidRPr="001127F9">
        <w:rPr>
          <w:bCs/>
          <w:spacing w:val="-2"/>
          <w:lang w:val="vi-VN"/>
        </w:rPr>
        <w:t xml:space="preserve">để </w:t>
      </w:r>
      <w:r w:rsidRPr="001127F9">
        <w:rPr>
          <w:spacing w:val="-2"/>
          <w:lang w:val="vi-VN"/>
        </w:rPr>
        <w:t>t</w:t>
      </w:r>
      <w:r w:rsidRPr="001127F9">
        <w:rPr>
          <w:spacing w:val="-2"/>
        </w:rPr>
        <w:t>ổ chức</w:t>
      </w:r>
      <w:r w:rsidRPr="001127F9">
        <w:rPr>
          <w:spacing w:val="-2"/>
          <w:lang w:val="vi-VN"/>
        </w:rPr>
        <w:t xml:space="preserve"> </w:t>
      </w:r>
      <w:r w:rsidRPr="001127F9">
        <w:rPr>
          <w:bCs/>
          <w:spacing w:val="-2"/>
          <w:lang w:val="vi-VN"/>
        </w:rPr>
        <w:t>các buổi làm việc và hỗ trợ các doanh nghiệp hội viên trong quá trình sản xuất, kinh doanh</w:t>
      </w:r>
      <w:r w:rsidRPr="001127F9">
        <w:rPr>
          <w:rStyle w:val="FootnoteReference"/>
          <w:b/>
          <w:spacing w:val="-2"/>
          <w:lang w:val="vi-VN"/>
        </w:rPr>
        <w:footnoteReference w:id="31"/>
      </w:r>
      <w:r w:rsidRPr="001127F9">
        <w:rPr>
          <w:bCs/>
          <w:spacing w:val="-2"/>
          <w:lang w:val="vi-VN"/>
        </w:rPr>
        <w:t xml:space="preserve">. </w:t>
      </w:r>
    </w:p>
    <w:p w:rsidR="00310C0E" w:rsidRPr="007721C0" w:rsidRDefault="00310C0E" w:rsidP="00F51789">
      <w:pPr>
        <w:shd w:val="clear" w:color="auto" w:fill="FFFFFF"/>
        <w:spacing w:before="100" w:after="100"/>
        <w:ind w:firstLine="709"/>
        <w:jc w:val="both"/>
        <w:rPr>
          <w:b/>
          <w:lang w:val="en-US"/>
        </w:rPr>
      </w:pPr>
      <w:r w:rsidRPr="007721C0">
        <w:rPr>
          <w:b/>
          <w:lang w:val="en-US"/>
        </w:rPr>
        <w:lastRenderedPageBreak/>
        <w:t>b) Hạn chế, tồn tại và nguyên nhân</w:t>
      </w:r>
    </w:p>
    <w:p w:rsidR="00310C0E" w:rsidRPr="007721C0" w:rsidRDefault="00F51789" w:rsidP="00F51789">
      <w:pPr>
        <w:widowControl w:val="0"/>
        <w:spacing w:before="100" w:after="100"/>
        <w:ind w:firstLine="709"/>
        <w:jc w:val="both"/>
        <w:rPr>
          <w:lang w:val="vi-VN"/>
        </w:rPr>
      </w:pPr>
      <w:r w:rsidRPr="007721C0">
        <w:t>- T</w:t>
      </w:r>
      <w:r w:rsidR="00310C0E" w:rsidRPr="007721C0">
        <w:t>ồn tại, hạn chế</w:t>
      </w:r>
      <w:r w:rsidR="00310C0E" w:rsidRPr="007721C0">
        <w:rPr>
          <w:lang w:val="vi-VN"/>
        </w:rPr>
        <w:t>:</w:t>
      </w:r>
      <w:r w:rsidR="00310C0E" w:rsidRPr="007721C0">
        <w:t xml:space="preserve"> </w:t>
      </w:r>
      <w:r w:rsidR="00310C0E" w:rsidRPr="007721C0">
        <w:rPr>
          <w:b/>
        </w:rPr>
        <w:t>(1)</w:t>
      </w:r>
      <w:r w:rsidR="00310C0E" w:rsidRPr="007721C0">
        <w:rPr>
          <w:lang w:val="vi-VN"/>
        </w:rPr>
        <w:t xml:space="preserve"> công tác tổng hợp, theo dõi tình hình, kết quả xử lý PAKN của cộng đồng doanh nghiệp</w:t>
      </w:r>
      <w:r w:rsidR="001127F9">
        <w:rPr>
          <w:lang w:val="en-US"/>
        </w:rPr>
        <w:t>, người dân</w:t>
      </w:r>
      <w:r w:rsidR="00310C0E" w:rsidRPr="007721C0">
        <w:rPr>
          <w:lang w:val="vi-VN"/>
        </w:rPr>
        <w:t xml:space="preserve"> về khó khăn, vướng mắc liên quan đến cơ chế, chính sách, TTHC chưa thật sự sát sao, kịp thời</w:t>
      </w:r>
      <w:r w:rsidR="00310C0E" w:rsidRPr="007721C0">
        <w:t xml:space="preserve">; </w:t>
      </w:r>
      <w:r w:rsidR="00310C0E" w:rsidRPr="007721C0">
        <w:rPr>
          <w:b/>
        </w:rPr>
        <w:t>(2)</w:t>
      </w:r>
      <w:r w:rsidR="00310C0E" w:rsidRPr="007721C0">
        <w:t xml:space="preserve"> </w:t>
      </w:r>
      <w:r w:rsidR="00310C0E" w:rsidRPr="007721C0">
        <w:rPr>
          <w:lang w:val="vi-VN"/>
        </w:rPr>
        <w:t>việc</w:t>
      </w:r>
      <w:r w:rsidR="00310C0E" w:rsidRPr="007721C0">
        <w:t xml:space="preserve"> </w:t>
      </w:r>
      <w:r w:rsidR="00310C0E" w:rsidRPr="007721C0">
        <w:rPr>
          <w:lang w:val="vi-VN"/>
        </w:rPr>
        <w:t xml:space="preserve">rà soát, đánh giá độc lập đối với các nhóm </w:t>
      </w:r>
      <w:r w:rsidR="001127F9">
        <w:rPr>
          <w:lang w:val="en-US"/>
        </w:rPr>
        <w:t>QĐKD</w:t>
      </w:r>
      <w:r w:rsidR="00310C0E" w:rsidRPr="007721C0">
        <w:rPr>
          <w:lang w:val="vi-VN"/>
        </w:rPr>
        <w:t xml:space="preserve">, TTHC còn thiếu tính chủ động; </w:t>
      </w:r>
      <w:r w:rsidR="00310C0E" w:rsidRPr="007721C0">
        <w:rPr>
          <w:b/>
          <w:lang w:val="vi-VN"/>
        </w:rPr>
        <w:t>(3)</w:t>
      </w:r>
      <w:r w:rsidR="00310C0E" w:rsidRPr="007721C0">
        <w:rPr>
          <w:lang w:val="vi-VN"/>
        </w:rPr>
        <w:t xml:space="preserve"> công tác phối hợp trong một số mặt hoạt động giữa các Ban công tác, các thành viên Hội đồng tư vấn chưa thật sự chặt chẽ; </w:t>
      </w:r>
      <w:r w:rsidR="00310C0E" w:rsidRPr="007721C0">
        <w:rPr>
          <w:b/>
          <w:lang w:val="vi-VN"/>
        </w:rPr>
        <w:t>(4)</w:t>
      </w:r>
      <w:r w:rsidR="00310C0E" w:rsidRPr="007721C0">
        <w:rPr>
          <w:lang w:val="vi-VN"/>
        </w:rPr>
        <w:t xml:space="preserve"> chất lượng nghiên cứu, tham gia ý kiến, đề xuất kiến nghị đôi khi chưa đạt yêu cầu. </w:t>
      </w:r>
    </w:p>
    <w:p w:rsidR="00310C0E" w:rsidRPr="007721C0" w:rsidRDefault="00F51789" w:rsidP="00F51789">
      <w:pPr>
        <w:spacing w:before="100" w:after="100"/>
        <w:ind w:firstLine="709"/>
        <w:jc w:val="both"/>
        <w:rPr>
          <w:color w:val="000000"/>
          <w:lang w:val="vi-VN"/>
        </w:rPr>
      </w:pPr>
      <w:r w:rsidRPr="007721C0">
        <w:t xml:space="preserve">- </w:t>
      </w:r>
      <w:r w:rsidR="00310C0E" w:rsidRPr="007721C0">
        <w:t>Nguyên nhân</w:t>
      </w:r>
      <w:r w:rsidRPr="007721C0">
        <w:t xml:space="preserve">: </w:t>
      </w:r>
      <w:r w:rsidRPr="007721C0">
        <w:rPr>
          <w:b/>
        </w:rPr>
        <w:t>(1)</w:t>
      </w:r>
      <w:r w:rsidR="00310C0E" w:rsidRPr="007721C0">
        <w:rPr>
          <w:lang w:val="vi-VN"/>
        </w:rPr>
        <w:t xml:space="preserve"> </w:t>
      </w:r>
      <w:r w:rsidR="00310C0E" w:rsidRPr="007721C0">
        <w:rPr>
          <w:color w:val="000000"/>
        </w:rPr>
        <w:t xml:space="preserve">Hội đồng tư vấn </w:t>
      </w:r>
      <w:r w:rsidR="00310C0E" w:rsidRPr="007721C0">
        <w:rPr>
          <w:color w:val="000000"/>
          <w:lang w:val="vi-VN"/>
        </w:rPr>
        <w:t xml:space="preserve">mới được kiện toàn, </w:t>
      </w:r>
      <w:r w:rsidR="00310C0E" w:rsidRPr="007721C0">
        <w:rPr>
          <w:lang w:val="vi-VN"/>
        </w:rPr>
        <w:t xml:space="preserve">các thành viên Hội đồng tư vấn làm việc theo chế độ kiêm nhiệm, </w:t>
      </w:r>
      <w:r w:rsidR="00310C0E" w:rsidRPr="007721C0">
        <w:rPr>
          <w:color w:val="000000"/>
          <w:lang w:val="vi-VN"/>
        </w:rPr>
        <w:t xml:space="preserve">một số thành viên mới </w:t>
      </w:r>
      <w:r w:rsidR="00310C0E" w:rsidRPr="007721C0">
        <w:rPr>
          <w:color w:val="000000"/>
        </w:rPr>
        <w:t>chưa nắm bắt được cách thức, quy trình tổ chức, triển khai hoạt động của Hội đồng tư vấn</w:t>
      </w:r>
      <w:r w:rsidRPr="007721C0">
        <w:rPr>
          <w:color w:val="000000"/>
          <w:lang w:val="en-US"/>
        </w:rPr>
        <w:t xml:space="preserve">; </w:t>
      </w:r>
      <w:r w:rsidRPr="007721C0">
        <w:rPr>
          <w:b/>
          <w:color w:val="000000"/>
          <w:lang w:val="en-US"/>
        </w:rPr>
        <w:t>(2)</w:t>
      </w:r>
      <w:r w:rsidR="00310C0E" w:rsidRPr="007721C0">
        <w:rPr>
          <w:color w:val="000000"/>
          <w:lang w:val="vi-VN"/>
        </w:rPr>
        <w:t xml:space="preserve"> một số thành viên Hội đồng chưa quan tâm, bố trí nhân lực, nguồn lực để triển khai hoạt động của Hội đồng tư vấn; </w:t>
      </w:r>
      <w:r w:rsidRPr="007721C0">
        <w:rPr>
          <w:b/>
          <w:color w:val="000000"/>
          <w:lang w:val="en-US"/>
        </w:rPr>
        <w:t>(3)</w:t>
      </w:r>
      <w:r w:rsidRPr="007721C0">
        <w:rPr>
          <w:color w:val="000000"/>
          <w:lang w:val="en-US"/>
        </w:rPr>
        <w:t xml:space="preserve"> </w:t>
      </w:r>
      <w:r w:rsidR="00310C0E" w:rsidRPr="007721C0">
        <w:rPr>
          <w:color w:val="000000"/>
          <w:lang w:val="vi-VN"/>
        </w:rPr>
        <w:t>các Ban công tác chưa thật sự ch</w:t>
      </w:r>
      <w:r w:rsidR="00310C0E" w:rsidRPr="007721C0">
        <w:rPr>
          <w:color w:val="000000"/>
        </w:rPr>
        <w:t xml:space="preserve">ủ động </w:t>
      </w:r>
      <w:r w:rsidR="00310C0E" w:rsidRPr="007721C0">
        <w:rPr>
          <w:color w:val="000000"/>
          <w:lang w:val="vi-VN"/>
        </w:rPr>
        <w:t>tr</w:t>
      </w:r>
      <w:r w:rsidR="00310C0E" w:rsidRPr="007721C0">
        <w:rPr>
          <w:color w:val="000000"/>
        </w:rPr>
        <w:t>o</w:t>
      </w:r>
      <w:r w:rsidR="00310C0E" w:rsidRPr="007721C0">
        <w:rPr>
          <w:color w:val="000000"/>
          <w:lang w:val="vi-VN"/>
        </w:rPr>
        <w:t xml:space="preserve">ng việc phát huy vai trò chủ trì, điều phối triển khai nhiệm vụ của Ban. </w:t>
      </w:r>
    </w:p>
    <w:p w:rsidR="00DB7F0D" w:rsidRPr="007721C0" w:rsidRDefault="00DB7F0D" w:rsidP="00F51789">
      <w:pPr>
        <w:shd w:val="clear" w:color="auto" w:fill="FFFFFF"/>
        <w:spacing w:before="100" w:after="100"/>
        <w:ind w:firstLine="709"/>
        <w:jc w:val="both"/>
        <w:rPr>
          <w:b/>
        </w:rPr>
      </w:pPr>
      <w:r w:rsidRPr="007721C0">
        <w:rPr>
          <w:b/>
          <w:lang w:val="en-US"/>
        </w:rPr>
        <w:t>I</w:t>
      </w:r>
      <w:r w:rsidR="00A10048" w:rsidRPr="007721C0">
        <w:rPr>
          <w:b/>
          <w:lang w:val="en-US"/>
        </w:rPr>
        <w:t>I</w:t>
      </w:r>
      <w:r w:rsidRPr="007721C0">
        <w:rPr>
          <w:b/>
          <w:lang w:val="en-US"/>
        </w:rPr>
        <w:t xml:space="preserve">I. </w:t>
      </w:r>
      <w:r w:rsidRPr="007721C0">
        <w:rPr>
          <w:b/>
        </w:rPr>
        <w:t xml:space="preserve">ĐÁNH GIÁ CHUNG </w:t>
      </w:r>
    </w:p>
    <w:p w:rsidR="00026E64" w:rsidRPr="00AF3A7C" w:rsidRDefault="00F01541" w:rsidP="00F51789">
      <w:pPr>
        <w:spacing w:before="100" w:after="100"/>
        <w:ind w:firstLine="709"/>
        <w:jc w:val="both"/>
        <w:rPr>
          <w:spacing w:val="-2"/>
        </w:rPr>
      </w:pPr>
      <w:r w:rsidRPr="00AF3A7C">
        <w:rPr>
          <w:spacing w:val="-2"/>
          <w:lang w:val="en-US"/>
        </w:rPr>
        <w:t>V</w:t>
      </w:r>
      <w:r w:rsidR="00026E64" w:rsidRPr="00AF3A7C">
        <w:rPr>
          <w:spacing w:val="-2"/>
          <w:lang w:val="en-US"/>
        </w:rPr>
        <w:t>ới</w:t>
      </w:r>
      <w:r w:rsidR="000B7286" w:rsidRPr="00AF3A7C">
        <w:rPr>
          <w:spacing w:val="-2"/>
          <w:lang w:val="en-US"/>
        </w:rPr>
        <w:t xml:space="preserve"> sự </w:t>
      </w:r>
      <w:r w:rsidR="00026E64" w:rsidRPr="00AF3A7C">
        <w:rPr>
          <w:spacing w:val="-2"/>
          <w:lang w:val="en-US"/>
        </w:rPr>
        <w:t xml:space="preserve">lãnh đạo, </w:t>
      </w:r>
      <w:r w:rsidR="000B7286" w:rsidRPr="00AF3A7C">
        <w:rPr>
          <w:spacing w:val="-2"/>
          <w:lang w:val="en-US"/>
        </w:rPr>
        <w:t>chỉ đạo quyết liệt của Chính phủ, Thủ tướng Chính phủ,</w:t>
      </w:r>
      <w:r w:rsidR="00EE61EC" w:rsidRPr="00AF3A7C">
        <w:rPr>
          <w:spacing w:val="-2"/>
          <w:lang w:val="en-US"/>
        </w:rPr>
        <w:t xml:space="preserve"> </w:t>
      </w:r>
      <w:r w:rsidR="00E306FE" w:rsidRPr="00AF3A7C">
        <w:rPr>
          <w:spacing w:val="-2"/>
          <w:lang w:val="en-US"/>
        </w:rPr>
        <w:t>vai trò</w:t>
      </w:r>
      <w:r w:rsidR="00026E64" w:rsidRPr="00AF3A7C">
        <w:rPr>
          <w:spacing w:val="-2"/>
          <w:lang w:val="en-US"/>
        </w:rPr>
        <w:t xml:space="preserve"> </w:t>
      </w:r>
      <w:r w:rsidR="00E306FE" w:rsidRPr="00AF3A7C">
        <w:rPr>
          <w:spacing w:val="-2"/>
          <w:lang w:val="en-US"/>
        </w:rPr>
        <w:t>của Tổ công tác</w:t>
      </w:r>
      <w:r w:rsidR="00871E8F" w:rsidRPr="00AF3A7C">
        <w:rPr>
          <w:spacing w:val="-2"/>
          <w:lang w:val="en-US"/>
        </w:rPr>
        <w:t>, Hội đồng tư vấn</w:t>
      </w:r>
      <w:r w:rsidR="00E306FE" w:rsidRPr="00AF3A7C">
        <w:rPr>
          <w:spacing w:val="-2"/>
          <w:lang w:val="en-US"/>
        </w:rPr>
        <w:t xml:space="preserve"> </w:t>
      </w:r>
      <w:r w:rsidR="00026E64" w:rsidRPr="00AF3A7C">
        <w:rPr>
          <w:spacing w:val="-2"/>
          <w:lang w:val="en-US"/>
        </w:rPr>
        <w:t>và</w:t>
      </w:r>
      <w:r w:rsidR="00E306FE" w:rsidRPr="00AF3A7C">
        <w:rPr>
          <w:spacing w:val="-2"/>
          <w:lang w:val="en-US"/>
        </w:rPr>
        <w:t xml:space="preserve"> </w:t>
      </w:r>
      <w:r w:rsidR="00EE61EC" w:rsidRPr="00AF3A7C">
        <w:rPr>
          <w:spacing w:val="-2"/>
          <w:lang w:val="en-US"/>
        </w:rPr>
        <w:t>sự</w:t>
      </w:r>
      <w:r w:rsidR="00026E64" w:rsidRPr="00AF3A7C">
        <w:rPr>
          <w:spacing w:val="-2"/>
          <w:lang w:val="en-US"/>
        </w:rPr>
        <w:t xml:space="preserve"> quyết tâm,</w:t>
      </w:r>
      <w:r w:rsidR="00EE61EC" w:rsidRPr="00AF3A7C">
        <w:rPr>
          <w:spacing w:val="-2"/>
          <w:lang w:val="en-US"/>
        </w:rPr>
        <w:t xml:space="preserve"> nỗ lực</w:t>
      </w:r>
      <w:r w:rsidR="00026E64" w:rsidRPr="00AF3A7C">
        <w:rPr>
          <w:spacing w:val="-2"/>
          <w:lang w:val="en-US"/>
        </w:rPr>
        <w:t xml:space="preserve"> triển khai đồng bộ, hiệu quả các nhiệm vụ, giải pháp</w:t>
      </w:r>
      <w:r w:rsidR="00EE61EC" w:rsidRPr="00AF3A7C">
        <w:rPr>
          <w:spacing w:val="-2"/>
          <w:lang w:val="en-US"/>
        </w:rPr>
        <w:t xml:space="preserve"> của các bộ, ngành, địa phương</w:t>
      </w:r>
      <w:r w:rsidR="00E306FE" w:rsidRPr="00AF3A7C">
        <w:rPr>
          <w:spacing w:val="-2"/>
          <w:lang w:val="en-US"/>
        </w:rPr>
        <w:t xml:space="preserve">, </w:t>
      </w:r>
      <w:r w:rsidR="002D7255" w:rsidRPr="00AF3A7C">
        <w:rPr>
          <w:spacing w:val="-2"/>
          <w:lang w:val="en-US"/>
        </w:rPr>
        <w:t>công tác cải cách TTHC</w:t>
      </w:r>
      <w:r w:rsidRPr="00AF3A7C">
        <w:rPr>
          <w:spacing w:val="-2"/>
          <w:lang w:val="en-US"/>
        </w:rPr>
        <w:t xml:space="preserve"> trong 6 tháng đầu năm 2024</w:t>
      </w:r>
      <w:r w:rsidR="00470D0B" w:rsidRPr="00AF3A7C">
        <w:rPr>
          <w:spacing w:val="-2"/>
          <w:lang w:val="en-US"/>
        </w:rPr>
        <w:t xml:space="preserve"> </w:t>
      </w:r>
      <w:r w:rsidR="002D7255" w:rsidRPr="00AF3A7C">
        <w:rPr>
          <w:spacing w:val="-2"/>
          <w:lang w:val="en-US"/>
        </w:rPr>
        <w:t xml:space="preserve">đã </w:t>
      </w:r>
      <w:r w:rsidR="00026E64" w:rsidRPr="00AF3A7C">
        <w:rPr>
          <w:spacing w:val="-2"/>
          <w:lang w:val="en-US"/>
        </w:rPr>
        <w:t>đạt</w:t>
      </w:r>
      <w:r w:rsidR="002D7255" w:rsidRPr="00AF3A7C">
        <w:rPr>
          <w:spacing w:val="-2"/>
          <w:lang w:val="en-US"/>
        </w:rPr>
        <w:t xml:space="preserve"> nhiều kết quả </w:t>
      </w:r>
      <w:r w:rsidR="00026E64" w:rsidRPr="00AF3A7C">
        <w:rPr>
          <w:spacing w:val="-2"/>
          <w:lang w:val="en-US"/>
        </w:rPr>
        <w:t>đáng ghi nhận</w:t>
      </w:r>
      <w:r w:rsidR="007F1B7B" w:rsidRPr="00AF3A7C">
        <w:rPr>
          <w:spacing w:val="-2"/>
          <w:lang w:val="en-US"/>
        </w:rPr>
        <w:t xml:space="preserve">. </w:t>
      </w:r>
      <w:r w:rsidR="006B3EEA" w:rsidRPr="00AF3A7C">
        <w:rPr>
          <w:spacing w:val="-2"/>
          <w:lang w:val="en-US"/>
        </w:rPr>
        <w:t>Chính phủ</w:t>
      </w:r>
      <w:r w:rsidR="00A36E52" w:rsidRPr="00AF3A7C">
        <w:rPr>
          <w:spacing w:val="-2"/>
          <w:lang w:val="en-US"/>
        </w:rPr>
        <w:t>, Thủ tướng Chính phủ</w:t>
      </w:r>
      <w:r w:rsidR="006B3EEA" w:rsidRPr="00AF3A7C">
        <w:rPr>
          <w:spacing w:val="-2"/>
          <w:lang w:val="en-US"/>
        </w:rPr>
        <w:t xml:space="preserve"> đã ban hành 01 Nghị định</w:t>
      </w:r>
      <w:r w:rsidR="000C0CB8" w:rsidRPr="00AF3A7C">
        <w:rPr>
          <w:rStyle w:val="FootnoteReference"/>
          <w:spacing w:val="-2"/>
          <w:lang w:val="en-US"/>
        </w:rPr>
        <w:footnoteReference w:id="32"/>
      </w:r>
      <w:r w:rsidR="006B3EEA" w:rsidRPr="00AF3A7C">
        <w:rPr>
          <w:spacing w:val="-2"/>
          <w:lang w:val="en-US"/>
        </w:rPr>
        <w:t>, 02 Chỉ thị</w:t>
      </w:r>
      <w:r w:rsidR="00B927D1" w:rsidRPr="00AF3A7C">
        <w:rPr>
          <w:rStyle w:val="FootnoteReference"/>
          <w:spacing w:val="-2"/>
          <w:lang w:val="en-US"/>
        </w:rPr>
        <w:footnoteReference w:id="33"/>
      </w:r>
      <w:r w:rsidR="00A36E52" w:rsidRPr="00AF3A7C">
        <w:rPr>
          <w:spacing w:val="-2"/>
          <w:lang w:val="en-US"/>
        </w:rPr>
        <w:t>, 03 Quyết định</w:t>
      </w:r>
      <w:r w:rsidR="00A36E52" w:rsidRPr="00AF3A7C">
        <w:rPr>
          <w:rStyle w:val="FootnoteReference"/>
          <w:spacing w:val="-2"/>
          <w:lang w:val="en-US"/>
        </w:rPr>
        <w:footnoteReference w:id="34"/>
      </w:r>
      <w:r w:rsidR="00A36E52" w:rsidRPr="00AF3A7C">
        <w:rPr>
          <w:spacing w:val="-2"/>
          <w:lang w:val="en-US"/>
        </w:rPr>
        <w:t xml:space="preserve"> và nhiều văn bản chỉ đạo, điều hành </w:t>
      </w:r>
      <w:r w:rsidR="00D07110" w:rsidRPr="00AF3A7C">
        <w:rPr>
          <w:spacing w:val="-2"/>
          <w:lang w:val="en-US"/>
        </w:rPr>
        <w:t>để thúc đẩy</w:t>
      </w:r>
      <w:r w:rsidRPr="00AF3A7C">
        <w:rPr>
          <w:spacing w:val="-2"/>
          <w:lang w:val="en-US"/>
        </w:rPr>
        <w:t xml:space="preserve"> việc triển khai</w:t>
      </w:r>
      <w:r w:rsidR="00D07110" w:rsidRPr="00AF3A7C">
        <w:rPr>
          <w:spacing w:val="-2"/>
          <w:lang w:val="en-US"/>
        </w:rPr>
        <w:t xml:space="preserve">. </w:t>
      </w:r>
      <w:r w:rsidR="007F1B7B" w:rsidRPr="00AF3A7C">
        <w:rPr>
          <w:spacing w:val="-2"/>
          <w:lang w:val="en-US"/>
        </w:rPr>
        <w:t xml:space="preserve">Theo </w:t>
      </w:r>
      <w:r w:rsidR="00F75E1E" w:rsidRPr="00AF3A7C">
        <w:rPr>
          <w:spacing w:val="-2"/>
          <w:lang w:val="en-US"/>
        </w:rPr>
        <w:t>đ</w:t>
      </w:r>
      <w:r w:rsidR="007F1B7B" w:rsidRPr="00AF3A7C">
        <w:rPr>
          <w:spacing w:val="-2"/>
          <w:lang w:val="en-US"/>
        </w:rPr>
        <w:t xml:space="preserve">ó, </w:t>
      </w:r>
      <w:r w:rsidR="00EE61EC" w:rsidRPr="00AF3A7C">
        <w:rPr>
          <w:spacing w:val="-2"/>
        </w:rPr>
        <w:t xml:space="preserve">đã cắt giảm, đơn giản hóa </w:t>
      </w:r>
      <w:r w:rsidR="00635DCB" w:rsidRPr="00AF3A7C">
        <w:rPr>
          <w:spacing w:val="-2"/>
        </w:rPr>
        <w:t xml:space="preserve">168 </w:t>
      </w:r>
      <w:r w:rsidR="00C95140" w:rsidRPr="00AF3A7C">
        <w:rPr>
          <w:spacing w:val="-2"/>
        </w:rPr>
        <w:t>QĐKD</w:t>
      </w:r>
      <w:r w:rsidR="00EF33A2" w:rsidRPr="00AF3A7C">
        <w:rPr>
          <w:spacing w:val="-2"/>
          <w:lang w:val="en-US"/>
        </w:rPr>
        <w:t xml:space="preserve"> </w:t>
      </w:r>
      <w:r w:rsidR="00EE61EC" w:rsidRPr="00AF3A7C">
        <w:rPr>
          <w:spacing w:val="-2"/>
        </w:rPr>
        <w:t xml:space="preserve">tại </w:t>
      </w:r>
      <w:r w:rsidR="00635DCB" w:rsidRPr="00AF3A7C">
        <w:rPr>
          <w:spacing w:val="-2"/>
        </w:rPr>
        <w:t>16</w:t>
      </w:r>
      <w:r w:rsidR="00026E64" w:rsidRPr="00AF3A7C">
        <w:rPr>
          <w:spacing w:val="-2"/>
        </w:rPr>
        <w:t xml:space="preserve"> </w:t>
      </w:r>
      <w:r w:rsidR="00EE61EC" w:rsidRPr="00AF3A7C">
        <w:rPr>
          <w:spacing w:val="-2"/>
        </w:rPr>
        <w:t xml:space="preserve">VBQPPL; phân cấp </w:t>
      </w:r>
      <w:r w:rsidR="00635DCB" w:rsidRPr="00AF3A7C">
        <w:rPr>
          <w:spacing w:val="-2"/>
        </w:rPr>
        <w:t xml:space="preserve">108 </w:t>
      </w:r>
      <w:r w:rsidR="00EE61EC" w:rsidRPr="00AF3A7C">
        <w:rPr>
          <w:spacing w:val="-2"/>
        </w:rPr>
        <w:t>TTHC tại</w:t>
      </w:r>
      <w:r w:rsidR="00232DB9" w:rsidRPr="00AF3A7C">
        <w:rPr>
          <w:spacing w:val="-2"/>
        </w:rPr>
        <w:t xml:space="preserve"> </w:t>
      </w:r>
      <w:r w:rsidR="00635DCB" w:rsidRPr="00AF3A7C">
        <w:rPr>
          <w:spacing w:val="-2"/>
        </w:rPr>
        <w:t xml:space="preserve">21 </w:t>
      </w:r>
      <w:r w:rsidR="00232DB9" w:rsidRPr="00AF3A7C">
        <w:rPr>
          <w:spacing w:val="-2"/>
        </w:rPr>
        <w:t>VBQPPL</w:t>
      </w:r>
      <w:r w:rsidR="00EE61EC" w:rsidRPr="00AF3A7C">
        <w:rPr>
          <w:spacing w:val="-2"/>
        </w:rPr>
        <w:t xml:space="preserve">; đơn giản hóa </w:t>
      </w:r>
      <w:r w:rsidR="008327F4" w:rsidRPr="00AF3A7C">
        <w:rPr>
          <w:spacing w:val="-2"/>
        </w:rPr>
        <w:t xml:space="preserve">247 </w:t>
      </w:r>
      <w:r w:rsidR="00EE61EC" w:rsidRPr="00AF3A7C">
        <w:rPr>
          <w:spacing w:val="-2"/>
        </w:rPr>
        <w:t>TTHC, giấy tờ công dân</w:t>
      </w:r>
      <w:r w:rsidR="007F1B7B" w:rsidRPr="00AF3A7C">
        <w:rPr>
          <w:spacing w:val="-2"/>
        </w:rPr>
        <w:t xml:space="preserve"> tại </w:t>
      </w:r>
      <w:r w:rsidR="008327F4" w:rsidRPr="00AF3A7C">
        <w:rPr>
          <w:spacing w:val="-2"/>
        </w:rPr>
        <w:t xml:space="preserve">25 </w:t>
      </w:r>
      <w:r w:rsidR="007F1B7B" w:rsidRPr="00AF3A7C">
        <w:rPr>
          <w:spacing w:val="-2"/>
        </w:rPr>
        <w:t>VBQPPL</w:t>
      </w:r>
      <w:r w:rsidR="00EF33A2" w:rsidRPr="00AF3A7C">
        <w:rPr>
          <w:spacing w:val="-2"/>
        </w:rPr>
        <w:t xml:space="preserve"> </w:t>
      </w:r>
      <w:r w:rsidR="00755F53" w:rsidRPr="00AF3A7C">
        <w:rPr>
          <w:spacing w:val="-2"/>
        </w:rPr>
        <w:t xml:space="preserve">theo </w:t>
      </w:r>
      <w:r w:rsidR="007F1B7B" w:rsidRPr="00AF3A7C">
        <w:rPr>
          <w:spacing w:val="-2"/>
        </w:rPr>
        <w:t>các Nghị quyết chuyên đề của Chính phủ</w:t>
      </w:r>
      <w:r w:rsidR="00EF33A2" w:rsidRPr="00AF3A7C">
        <w:rPr>
          <w:spacing w:val="-2"/>
        </w:rPr>
        <w:t>; 40 TTHC nội bộ đã được Thủ tướng Chính phủ phê duyệt phương án đơn giản hóa và 1.012 TTHC nội bộ đã được các bộ, ngành, địa phương phê duyệt phương án đơn giản hóa theo thẩm quyền.</w:t>
      </w:r>
      <w:r w:rsidR="003F3EF6" w:rsidRPr="00AF3A7C">
        <w:rPr>
          <w:spacing w:val="-2"/>
        </w:rPr>
        <w:t xml:space="preserve"> </w:t>
      </w:r>
      <w:r w:rsidR="000B7286" w:rsidRPr="00AF3A7C">
        <w:rPr>
          <w:spacing w:val="-2"/>
        </w:rPr>
        <w:t>Bên cạnh đó, v</w:t>
      </w:r>
      <w:r w:rsidR="008D1926" w:rsidRPr="00AF3A7C">
        <w:rPr>
          <w:spacing w:val="-2"/>
        </w:rPr>
        <w:t xml:space="preserve">iệc </w:t>
      </w:r>
      <w:r w:rsidR="00682789" w:rsidRPr="00AF3A7C">
        <w:rPr>
          <w:spacing w:val="-2"/>
        </w:rPr>
        <w:t>cung cấp dịch vụ công trực tuyến đã có sự cải thiện rõ rệt</w:t>
      </w:r>
      <w:r w:rsidR="00EF33A2" w:rsidRPr="00AF3A7C">
        <w:rPr>
          <w:spacing w:val="-2"/>
        </w:rPr>
        <w:t xml:space="preserve">; tỷ lệ hồ sơ trực tuyến và số hóa kết quả giải quyết TTHC tại các bộ, ngành, địa phương đều tăng so với cùng kỳ năm 2023; </w:t>
      </w:r>
      <w:r w:rsidR="00485D82" w:rsidRPr="00AF3A7C">
        <w:rPr>
          <w:spacing w:val="-2"/>
        </w:rPr>
        <w:t xml:space="preserve">hơn 4.500 dịch vụ công trực tuyến được tích hợp, cung cấp trên </w:t>
      </w:r>
      <w:r w:rsidR="00381191" w:rsidRPr="00AF3A7C">
        <w:rPr>
          <w:bCs/>
          <w:spacing w:val="-2"/>
        </w:rPr>
        <w:t xml:space="preserve">Cổng </w:t>
      </w:r>
      <w:r w:rsidR="00381191" w:rsidRPr="00AF3A7C">
        <w:rPr>
          <w:spacing w:val="-2"/>
          <w:shd w:val="clear" w:color="auto" w:fill="FFFFFF"/>
        </w:rPr>
        <w:t>Dịch vụ công quốc gia</w:t>
      </w:r>
      <w:r w:rsidR="00485D82" w:rsidRPr="00AF3A7C">
        <w:rPr>
          <w:spacing w:val="-2"/>
          <w:shd w:val="clear" w:color="auto" w:fill="FFFFFF"/>
        </w:rPr>
        <w:t>, trong đó nhiều dịch vụ công đã được tái cấu trúc, đơn giản hóa quy trình thực hiện.</w:t>
      </w:r>
      <w:r w:rsidR="00F25279" w:rsidRPr="00AF3A7C">
        <w:rPr>
          <w:spacing w:val="-2"/>
          <w:lang w:val="en-US"/>
        </w:rPr>
        <w:t xml:space="preserve"> </w:t>
      </w:r>
      <w:r w:rsidR="00682789" w:rsidRPr="00AF3A7C">
        <w:rPr>
          <w:spacing w:val="-2"/>
        </w:rPr>
        <w:t>Bộ chỉ số đánh giá chất lượng phục vụ người dân</w:t>
      </w:r>
      <w:r w:rsidR="00026E64" w:rsidRPr="00AF3A7C">
        <w:rPr>
          <w:spacing w:val="-2"/>
        </w:rPr>
        <w:t>,</w:t>
      </w:r>
      <w:r w:rsidR="00682789" w:rsidRPr="00AF3A7C">
        <w:rPr>
          <w:spacing w:val="-2"/>
        </w:rPr>
        <w:t xml:space="preserve"> doanh nghiệp </w:t>
      </w:r>
      <w:r w:rsidR="003472E5" w:rsidRPr="00AF3A7C">
        <w:rPr>
          <w:spacing w:val="-2"/>
        </w:rPr>
        <w:t>tiếp tục</w:t>
      </w:r>
      <w:r w:rsidR="00682789" w:rsidRPr="00AF3A7C">
        <w:rPr>
          <w:spacing w:val="-2"/>
        </w:rPr>
        <w:t xml:space="preserve"> phát huy</w:t>
      </w:r>
      <w:r w:rsidR="00682789" w:rsidRPr="00AF3A7C">
        <w:rPr>
          <w:rFonts w:eastAsia="Arial"/>
          <w:spacing w:val="-2"/>
        </w:rPr>
        <w:t xml:space="preserve"> vai trò phục vụ chỉ đạo, điều hành, đánh giá kết quả cải cách TTHC của cơ quan, đơn vị</w:t>
      </w:r>
      <w:r w:rsidR="000B7286" w:rsidRPr="00AF3A7C">
        <w:rPr>
          <w:rFonts w:eastAsia="Arial"/>
          <w:spacing w:val="-2"/>
        </w:rPr>
        <w:t xml:space="preserve"> và</w:t>
      </w:r>
      <w:r w:rsidR="00682789" w:rsidRPr="00AF3A7C">
        <w:rPr>
          <w:rFonts w:eastAsia="Arial"/>
          <w:spacing w:val="-2"/>
        </w:rPr>
        <w:t xml:space="preserve"> theo dõi, giám sát của cá nhân, tổ chức.</w:t>
      </w:r>
    </w:p>
    <w:p w:rsidR="00F51789" w:rsidRPr="001127F9" w:rsidRDefault="00F51789" w:rsidP="00F51789">
      <w:pPr>
        <w:shd w:val="clear" w:color="auto" w:fill="FFFFFF"/>
        <w:spacing w:before="100" w:after="100"/>
        <w:ind w:firstLine="709"/>
        <w:jc w:val="both"/>
        <w:rPr>
          <w:spacing w:val="-2"/>
          <w:lang w:val="en-US"/>
        </w:rPr>
      </w:pPr>
      <w:r w:rsidRPr="001127F9">
        <w:rPr>
          <w:spacing w:val="-2"/>
          <w:lang w:val="en-US"/>
        </w:rPr>
        <w:t xml:space="preserve">Tổ công tác đã phát huy vai trò giúp </w:t>
      </w:r>
      <w:r w:rsidRPr="001127F9">
        <w:rPr>
          <w:spacing w:val="-2"/>
        </w:rPr>
        <w:t>Thủ tướng Chính phủ chỉ đạo, đôn đốc các bộ, ngành, địa phương thực hiện các mục tiêu, nhiệm vụ, giải pháp về cải cách</w:t>
      </w:r>
      <w:r w:rsidRPr="001127F9">
        <w:rPr>
          <w:spacing w:val="-2"/>
          <w:lang w:val="en-US"/>
        </w:rPr>
        <w:t xml:space="preserve"> </w:t>
      </w:r>
      <w:r w:rsidRPr="001127F9">
        <w:rPr>
          <w:spacing w:val="-2"/>
          <w:lang w:val="en-US"/>
        </w:rPr>
        <w:lastRenderedPageBreak/>
        <w:t>TTHC,</w:t>
      </w:r>
      <w:r w:rsidRPr="001127F9">
        <w:rPr>
          <w:spacing w:val="-2"/>
        </w:rPr>
        <w:t xml:space="preserve"> góp phần khắc phục điểm yếu trong khâu tổ chức thực thi và Hội đồng tư vấn cũng đã </w:t>
      </w:r>
      <w:r w:rsidRPr="001127F9">
        <w:rPr>
          <w:spacing w:val="-2"/>
          <w:lang w:val="vi-VN"/>
        </w:rPr>
        <w:t>phát huy vai trò “cầu nối”</w:t>
      </w:r>
      <w:r w:rsidRPr="001127F9">
        <w:rPr>
          <w:spacing w:val="-2"/>
        </w:rPr>
        <w:t xml:space="preserve"> </w:t>
      </w:r>
      <w:r w:rsidRPr="001127F9">
        <w:rPr>
          <w:spacing w:val="-2"/>
          <w:lang w:val="vi-VN"/>
        </w:rPr>
        <w:t xml:space="preserve">giữa Chính phủ với người dân, doanh nghiệp, </w:t>
      </w:r>
      <w:r w:rsidRPr="001127F9">
        <w:rPr>
          <w:spacing w:val="-2"/>
        </w:rPr>
        <w:t>huy động sự tham gia rộng rãi của cộng đồng doanh nghiệp và người dân vào quá trình cải cách của Chính phủ, bảo đảm cải cách hướng tới người dân, phục vụ người dân cũng như nâng cao khả năng phản ứng chính sách</w:t>
      </w:r>
      <w:r w:rsidRPr="001127F9">
        <w:rPr>
          <w:spacing w:val="-2"/>
          <w:lang w:val="en-US"/>
        </w:rPr>
        <w:t>. Đến nay, Tổ công tác đã cơ bản hoàn thành 13/17 nhiệm vụ (không có nhiệm vụ quá hạn)</w:t>
      </w:r>
      <w:r w:rsidRPr="001127F9">
        <w:rPr>
          <w:spacing w:val="-2"/>
        </w:rPr>
        <w:t xml:space="preserve">, Hội đồng tư vấn hoàn thành </w:t>
      </w:r>
      <w:r w:rsidRPr="001127F9">
        <w:rPr>
          <w:spacing w:val="-2"/>
          <w:lang w:val="vi-VN"/>
        </w:rPr>
        <w:t>10</w:t>
      </w:r>
      <w:r w:rsidRPr="001127F9">
        <w:rPr>
          <w:spacing w:val="-2"/>
        </w:rPr>
        <w:t>/</w:t>
      </w:r>
      <w:r w:rsidRPr="001127F9">
        <w:rPr>
          <w:spacing w:val="-2"/>
          <w:lang w:val="vi-VN"/>
        </w:rPr>
        <w:t>23</w:t>
      </w:r>
      <w:r w:rsidRPr="001127F9">
        <w:rPr>
          <w:spacing w:val="-2"/>
        </w:rPr>
        <w:t xml:space="preserve"> nhiệm vụ (không có nhiệm vụ quá hạn)</w:t>
      </w:r>
      <w:r w:rsidRPr="001127F9">
        <w:rPr>
          <w:spacing w:val="-2"/>
          <w:lang w:val="en-US"/>
        </w:rPr>
        <w:t xml:space="preserve"> theo Kế hoạch hoạt động.</w:t>
      </w:r>
    </w:p>
    <w:p w:rsidR="00485D82" w:rsidRPr="007721C0" w:rsidRDefault="002D4848" w:rsidP="00F51789">
      <w:pPr>
        <w:shd w:val="clear" w:color="auto" w:fill="FFFFFF"/>
        <w:spacing w:before="100" w:after="100"/>
        <w:ind w:firstLine="709"/>
        <w:jc w:val="both"/>
      </w:pPr>
      <w:r w:rsidRPr="007721C0">
        <w:rPr>
          <w:bCs/>
          <w:lang w:val="en-US"/>
        </w:rPr>
        <w:t>Mặc dù đạt được nhiều kết quả đáng ghi nhận, tuy nhiên</w:t>
      </w:r>
      <w:r w:rsidR="008D5E52" w:rsidRPr="007721C0">
        <w:t xml:space="preserve"> </w:t>
      </w:r>
      <w:r w:rsidRPr="007721C0">
        <w:t>vẫn còn một số tồn tại, hạn chế như</w:t>
      </w:r>
      <w:r w:rsidRPr="007721C0">
        <w:rPr>
          <w:lang w:val="en-US"/>
        </w:rPr>
        <w:t>:</w:t>
      </w:r>
      <w:r w:rsidR="00047003" w:rsidRPr="007721C0">
        <w:rPr>
          <w:b/>
          <w:i/>
        </w:rPr>
        <w:t xml:space="preserve"> </w:t>
      </w:r>
      <w:r w:rsidR="00047003" w:rsidRPr="007721C0">
        <w:rPr>
          <w:b/>
        </w:rPr>
        <w:t>(1)</w:t>
      </w:r>
      <w:r w:rsidR="00047003" w:rsidRPr="007721C0">
        <w:t xml:space="preserve"> Một số quy định, TTHC còn chồng chéo, phức tạp, qua nhiều khâu trung gian</w:t>
      </w:r>
      <w:r w:rsidR="00485D82" w:rsidRPr="007721C0">
        <w:t>; việc đánh giá tác động chính sách, chi phí tuân thủ cũng như hoạt động tham vấn của một số cơ quan tuân thủ chưa nghiêm;</w:t>
      </w:r>
      <w:r w:rsidR="00047003" w:rsidRPr="007721C0">
        <w:t xml:space="preserve"> </w:t>
      </w:r>
      <w:r w:rsidR="00047003" w:rsidRPr="007721C0">
        <w:rPr>
          <w:b/>
        </w:rPr>
        <w:t>(2)</w:t>
      </w:r>
      <w:r w:rsidR="00047003" w:rsidRPr="007721C0">
        <w:t xml:space="preserve"> </w:t>
      </w:r>
      <w:r w:rsidR="00485D82" w:rsidRPr="007721C0">
        <w:t xml:space="preserve">TTHC nội bộ trong từng bộ, cơ quan, địa phương và giữa các cơ quan hành chính nhà nước với nhau còn phức tạp, rườm rà; </w:t>
      </w:r>
      <w:r w:rsidR="00485D82" w:rsidRPr="007721C0">
        <w:rPr>
          <w:b/>
        </w:rPr>
        <w:t xml:space="preserve">(3) </w:t>
      </w:r>
      <w:r w:rsidR="00047003" w:rsidRPr="007721C0">
        <w:t>Việc tháo gỡ vướng mắc cho doanh nghiệp, người dân chưa được quan tâm đúng mức</w:t>
      </w:r>
      <w:r w:rsidR="00485D82" w:rsidRPr="007721C0">
        <w:t>, tại một số cơ quan, đơn vị, địa phương nhất là ở cơ sở vẫn còn tình trạng nhũng nhiễu, tiêu cực</w:t>
      </w:r>
      <w:r w:rsidR="00047003" w:rsidRPr="007721C0">
        <w:t xml:space="preserve">; </w:t>
      </w:r>
      <w:r w:rsidR="00047003" w:rsidRPr="007721C0">
        <w:rPr>
          <w:b/>
        </w:rPr>
        <w:t>(</w:t>
      </w:r>
      <w:r w:rsidR="00485D82" w:rsidRPr="007721C0">
        <w:rPr>
          <w:b/>
        </w:rPr>
        <w:t>4</w:t>
      </w:r>
      <w:r w:rsidR="00047003" w:rsidRPr="007721C0">
        <w:rPr>
          <w:b/>
        </w:rPr>
        <w:t>)</w:t>
      </w:r>
      <w:r w:rsidR="00047003" w:rsidRPr="007721C0">
        <w:t xml:space="preserve"> Việc tiếp nhận, giải quyết TTHC chủ yếu theo phương thức truyền thống</w:t>
      </w:r>
      <w:r w:rsidR="00485D82" w:rsidRPr="007721C0">
        <w:t xml:space="preserve"> hồ sơ giấy, theo địa giới hành chính; một số dịch vụ công trực tuyến thực hiện chưa thuận lợi; (</w:t>
      </w:r>
      <w:r w:rsidR="00485D82" w:rsidRPr="007721C0">
        <w:rPr>
          <w:b/>
        </w:rPr>
        <w:t>5</w:t>
      </w:r>
      <w:r w:rsidR="00485D82" w:rsidRPr="007721C0">
        <w:t xml:space="preserve">) </w:t>
      </w:r>
      <w:r w:rsidR="00074674" w:rsidRPr="007721C0">
        <w:t>V</w:t>
      </w:r>
      <w:r w:rsidR="00485D82" w:rsidRPr="007721C0">
        <w:t>iệc số hóa tái sử dụng dữ liệu số hóa tại các bộ, ngành, địa phương còn thấp.</w:t>
      </w:r>
    </w:p>
    <w:p w:rsidR="008464D0" w:rsidRPr="007721C0" w:rsidRDefault="00F810FB" w:rsidP="00F51789">
      <w:pPr>
        <w:shd w:val="clear" w:color="auto" w:fill="FFFFFF"/>
        <w:spacing w:before="100" w:after="100"/>
        <w:ind w:firstLine="709"/>
        <w:jc w:val="both"/>
        <w:rPr>
          <w:bCs/>
          <w:lang w:val="en-US"/>
        </w:rPr>
      </w:pPr>
      <w:r w:rsidRPr="007721C0">
        <w:rPr>
          <w:bCs/>
          <w:lang w:val="en-US"/>
        </w:rPr>
        <w:t>Nguyên nhân của tồn tại, hạn chế nêu trên có cả chủ quan và khách quan, trong đó nguyên nhân chủ quan là chủ yếu, như</w:t>
      </w:r>
      <w:r w:rsidR="002D4848" w:rsidRPr="007721C0">
        <w:rPr>
          <w:bCs/>
          <w:lang w:val="en-US"/>
        </w:rPr>
        <w:t xml:space="preserve">: </w:t>
      </w:r>
      <w:r w:rsidR="002D4848" w:rsidRPr="007721C0">
        <w:rPr>
          <w:b/>
          <w:bCs/>
          <w:lang w:val="en-US"/>
        </w:rPr>
        <w:t>(1)</w:t>
      </w:r>
      <w:r w:rsidR="002D4848" w:rsidRPr="007721C0">
        <w:rPr>
          <w:bCs/>
          <w:lang w:val="en-US"/>
        </w:rPr>
        <w:t xml:space="preserve"> </w:t>
      </w:r>
      <w:r w:rsidRPr="007721C0">
        <w:rPr>
          <w:bCs/>
          <w:lang w:val="en-US"/>
        </w:rPr>
        <w:t>Người đứng đầu một số bộ, cơ quan, địa phương chưa quan tâm đến công tác cải cách TTHC</w:t>
      </w:r>
      <w:r w:rsidR="002D4848" w:rsidRPr="007721C0">
        <w:rPr>
          <w:bCs/>
          <w:lang w:val="en-US"/>
        </w:rPr>
        <w:t xml:space="preserve">; </w:t>
      </w:r>
      <w:r w:rsidR="002D4848" w:rsidRPr="007721C0">
        <w:rPr>
          <w:b/>
          <w:bCs/>
          <w:lang w:val="en-US"/>
        </w:rPr>
        <w:t>(2)</w:t>
      </w:r>
      <w:r w:rsidR="002D4848" w:rsidRPr="007721C0">
        <w:rPr>
          <w:bCs/>
          <w:lang w:val="en-US"/>
        </w:rPr>
        <w:t xml:space="preserve"> </w:t>
      </w:r>
      <w:r w:rsidR="005340C5" w:rsidRPr="007721C0">
        <w:rPr>
          <w:bCs/>
          <w:lang w:val="en-US"/>
        </w:rPr>
        <w:t>Trình độ của một số cán bộ, công chức, viên chức còn hạn chế, chưa phát huy hết vai trò, trách nhiệm trong thực thi công vụ</w:t>
      </w:r>
      <w:r w:rsidR="003F2BCF" w:rsidRPr="007721C0">
        <w:rPr>
          <w:bCs/>
          <w:lang w:val="en-US"/>
        </w:rPr>
        <w:t>;</w:t>
      </w:r>
      <w:r w:rsidRPr="007721C0">
        <w:rPr>
          <w:bCs/>
          <w:lang w:val="en-US"/>
        </w:rPr>
        <w:t xml:space="preserve"> (</w:t>
      </w:r>
      <w:r w:rsidRPr="007721C0">
        <w:rPr>
          <w:b/>
          <w:bCs/>
          <w:lang w:val="en-US"/>
        </w:rPr>
        <w:t>3</w:t>
      </w:r>
      <w:r w:rsidRPr="007721C0">
        <w:rPr>
          <w:bCs/>
          <w:lang w:val="en-US"/>
        </w:rPr>
        <w:t>)</w:t>
      </w:r>
      <w:r w:rsidR="003F2BCF" w:rsidRPr="007721C0">
        <w:rPr>
          <w:bCs/>
          <w:lang w:val="en-US"/>
        </w:rPr>
        <w:t xml:space="preserve"> </w:t>
      </w:r>
      <w:r w:rsidRPr="007721C0">
        <w:rPr>
          <w:bCs/>
          <w:lang w:val="en-US"/>
        </w:rPr>
        <w:t xml:space="preserve">Thói quen làm việc theo phương thức truyền thống, chưa theo kịp với tiến bộ khoa học kỹ thuật và công nghệ; </w:t>
      </w:r>
      <w:r w:rsidR="002D4848" w:rsidRPr="007721C0">
        <w:rPr>
          <w:b/>
          <w:bCs/>
          <w:lang w:val="en-US"/>
        </w:rPr>
        <w:t>(</w:t>
      </w:r>
      <w:r w:rsidRPr="007721C0">
        <w:rPr>
          <w:b/>
          <w:bCs/>
          <w:lang w:val="en-US"/>
        </w:rPr>
        <w:t>4</w:t>
      </w:r>
      <w:r w:rsidR="002D4848" w:rsidRPr="007721C0">
        <w:rPr>
          <w:b/>
          <w:bCs/>
          <w:lang w:val="en-US"/>
        </w:rPr>
        <w:t>)</w:t>
      </w:r>
      <w:r w:rsidR="002D4848" w:rsidRPr="007721C0">
        <w:rPr>
          <w:bCs/>
          <w:lang w:val="en-US"/>
        </w:rPr>
        <w:t xml:space="preserve"> </w:t>
      </w:r>
      <w:r w:rsidR="00D34404" w:rsidRPr="007721C0">
        <w:rPr>
          <w:bCs/>
          <w:lang w:val="en-US"/>
        </w:rPr>
        <w:t>C</w:t>
      </w:r>
      <w:r w:rsidR="002D4848" w:rsidRPr="007721C0">
        <w:rPr>
          <w:bCs/>
          <w:lang w:val="en-US"/>
        </w:rPr>
        <w:t>ông tác phối hợp giữa các bộ, cơ quan, địa phương đôi khi còn</w:t>
      </w:r>
      <w:r w:rsidRPr="007721C0">
        <w:rPr>
          <w:bCs/>
          <w:lang w:val="en-US"/>
        </w:rPr>
        <w:t xml:space="preserve"> thiếu chủ động,</w:t>
      </w:r>
      <w:r w:rsidR="002D4848" w:rsidRPr="007721C0">
        <w:rPr>
          <w:bCs/>
          <w:lang w:val="en-US"/>
        </w:rPr>
        <w:t xml:space="preserve"> chưa chặt chẽ</w:t>
      </w:r>
      <w:r w:rsidRPr="007721C0">
        <w:rPr>
          <w:bCs/>
          <w:lang w:val="en-US"/>
        </w:rPr>
        <w:t>, kịp thời</w:t>
      </w:r>
      <w:r w:rsidR="002D4848" w:rsidRPr="007721C0">
        <w:rPr>
          <w:bCs/>
          <w:lang w:val="en-US"/>
        </w:rPr>
        <w:t xml:space="preserve">; </w:t>
      </w:r>
      <w:r w:rsidR="002D4848" w:rsidRPr="007721C0">
        <w:rPr>
          <w:b/>
          <w:bCs/>
          <w:lang w:val="en-US"/>
        </w:rPr>
        <w:t>(</w:t>
      </w:r>
      <w:r w:rsidR="005340C5" w:rsidRPr="007721C0">
        <w:rPr>
          <w:b/>
          <w:bCs/>
          <w:lang w:val="en-US"/>
        </w:rPr>
        <w:t>5</w:t>
      </w:r>
      <w:r w:rsidR="002D4848" w:rsidRPr="007721C0">
        <w:rPr>
          <w:b/>
          <w:bCs/>
          <w:lang w:val="en-US"/>
        </w:rPr>
        <w:t>)</w:t>
      </w:r>
      <w:r w:rsidR="002D4848" w:rsidRPr="007721C0">
        <w:rPr>
          <w:bCs/>
          <w:lang w:val="en-US"/>
        </w:rPr>
        <w:t xml:space="preserve"> Hạ tầng công nghệ thông tin</w:t>
      </w:r>
      <w:r w:rsidR="005340C5" w:rsidRPr="007721C0">
        <w:rPr>
          <w:bCs/>
          <w:lang w:val="en-US"/>
        </w:rPr>
        <w:t xml:space="preserve"> còn yếu, thiếu đồng bộ, nhiều hệ thống đã được đầu tư từ lâu, chưa được nâng cấp, phát triển</w:t>
      </w:r>
      <w:r w:rsidR="002E3896" w:rsidRPr="007721C0">
        <w:rPr>
          <w:bCs/>
          <w:lang w:val="en-US"/>
        </w:rPr>
        <w:t xml:space="preserve">; </w:t>
      </w:r>
      <w:r w:rsidR="002E3896" w:rsidRPr="00871E8F">
        <w:rPr>
          <w:b/>
          <w:bCs/>
          <w:lang w:val="en-US"/>
        </w:rPr>
        <w:t>(6)</w:t>
      </w:r>
      <w:r w:rsidR="002E3896" w:rsidRPr="007721C0">
        <w:rPr>
          <w:bCs/>
          <w:lang w:val="en-US"/>
        </w:rPr>
        <w:t xml:space="preserve"> Nguồn lực thực hiện </w:t>
      </w:r>
      <w:r w:rsidR="00A90667" w:rsidRPr="007721C0">
        <w:rPr>
          <w:bCs/>
          <w:lang w:val="en-US"/>
        </w:rPr>
        <w:t>các nhiệm vụ cải cách TTHC chưa đảm bảo</w:t>
      </w:r>
      <w:r w:rsidR="00FE3551" w:rsidRPr="007721C0">
        <w:rPr>
          <w:bCs/>
          <w:lang w:val="en-US"/>
        </w:rPr>
        <w:t>.</w:t>
      </w:r>
    </w:p>
    <w:p w:rsidR="000B7286" w:rsidRPr="00871E8F" w:rsidRDefault="00DB7F0D" w:rsidP="00F51789">
      <w:pPr>
        <w:shd w:val="clear" w:color="auto" w:fill="FFFFFF"/>
        <w:spacing w:before="100" w:after="100"/>
        <w:ind w:firstLine="709"/>
        <w:jc w:val="both"/>
        <w:rPr>
          <w:rFonts w:ascii="Times New Roman Bold" w:hAnsi="Times New Roman Bold"/>
          <w:b/>
          <w:spacing w:val="-6"/>
          <w:lang w:val="en-US"/>
        </w:rPr>
      </w:pPr>
      <w:r w:rsidRPr="00871E8F">
        <w:rPr>
          <w:rFonts w:ascii="Times New Roman Bold" w:hAnsi="Times New Roman Bold"/>
          <w:b/>
          <w:spacing w:val="-6"/>
        </w:rPr>
        <w:t>I</w:t>
      </w:r>
      <w:r w:rsidR="00A10048" w:rsidRPr="00871E8F">
        <w:rPr>
          <w:rFonts w:ascii="Times New Roman Bold" w:hAnsi="Times New Roman Bold"/>
          <w:b/>
          <w:spacing w:val="-6"/>
        </w:rPr>
        <w:t>V</w:t>
      </w:r>
      <w:r w:rsidRPr="00871E8F">
        <w:rPr>
          <w:rFonts w:ascii="Times New Roman Bold" w:hAnsi="Times New Roman Bold"/>
          <w:b/>
          <w:spacing w:val="-6"/>
          <w:lang w:val="en-US"/>
        </w:rPr>
        <w:t xml:space="preserve">. </w:t>
      </w:r>
      <w:r w:rsidRPr="00871E8F">
        <w:rPr>
          <w:rFonts w:ascii="Times New Roman Bold" w:hAnsi="Times New Roman Bold"/>
          <w:b/>
          <w:spacing w:val="-6"/>
        </w:rPr>
        <w:t>GIẢI PHÁP</w:t>
      </w:r>
      <w:r w:rsidRPr="00871E8F">
        <w:rPr>
          <w:rFonts w:ascii="Times New Roman Bold" w:hAnsi="Times New Roman Bold"/>
          <w:b/>
          <w:spacing w:val="-6"/>
          <w:lang w:val="en-US"/>
        </w:rPr>
        <w:t>, NHIỆM VỤ TRỌNG TÂM</w:t>
      </w:r>
      <w:r w:rsidR="00414513" w:rsidRPr="00871E8F">
        <w:rPr>
          <w:rFonts w:ascii="Times New Roman Bold" w:hAnsi="Times New Roman Bold"/>
          <w:b/>
          <w:spacing w:val="-6"/>
          <w:lang w:val="en-US"/>
        </w:rPr>
        <w:t xml:space="preserve"> 6 THÁNG CUỐI</w:t>
      </w:r>
      <w:r w:rsidRPr="00871E8F">
        <w:rPr>
          <w:rFonts w:ascii="Times New Roman Bold" w:hAnsi="Times New Roman Bold"/>
          <w:b/>
          <w:spacing w:val="-6"/>
          <w:lang w:val="en-US"/>
        </w:rPr>
        <w:t xml:space="preserve"> NĂM 2024</w:t>
      </w:r>
      <w:r w:rsidR="00395F52" w:rsidRPr="00871E8F">
        <w:rPr>
          <w:rFonts w:ascii="Times New Roman Bold" w:hAnsi="Times New Roman Bold"/>
          <w:b/>
          <w:spacing w:val="-6"/>
          <w:lang w:val="en-US"/>
        </w:rPr>
        <w:t xml:space="preserve"> </w:t>
      </w:r>
    </w:p>
    <w:p w:rsidR="00DB7F0D" w:rsidRPr="007721C0" w:rsidRDefault="00DB7F0D" w:rsidP="00F02544">
      <w:pPr>
        <w:shd w:val="clear" w:color="auto" w:fill="FFFFFF"/>
        <w:spacing w:before="100" w:after="100"/>
        <w:ind w:firstLine="709"/>
        <w:jc w:val="both"/>
        <w:rPr>
          <w:lang w:val="en-US"/>
        </w:rPr>
      </w:pPr>
      <w:r w:rsidRPr="007721C0">
        <w:t>Để triển khai hiệu quả công tác cải cách TTHC</w:t>
      </w:r>
      <w:r w:rsidRPr="007721C0">
        <w:rPr>
          <w:lang w:val="en-US"/>
        </w:rPr>
        <w:t xml:space="preserve"> trong</w:t>
      </w:r>
      <w:r w:rsidR="00414513" w:rsidRPr="007721C0">
        <w:rPr>
          <w:lang w:val="en-US"/>
        </w:rPr>
        <w:t xml:space="preserve"> 6 tháng cuối</w:t>
      </w:r>
      <w:r w:rsidRPr="007721C0">
        <w:rPr>
          <w:lang w:val="en-US"/>
        </w:rPr>
        <w:t xml:space="preserve"> năm 2024, </w:t>
      </w:r>
      <w:r w:rsidR="00F02544" w:rsidRPr="007721C0">
        <w:rPr>
          <w:lang w:val="en-US"/>
        </w:rPr>
        <w:t xml:space="preserve">quán triệt các nhiệm vụ, giải pháp Quốc hội đề nghị Chính phủ quan tâm chỉ đạo tập trung thực hiện tại Nghị quyết số 142/2024/QH15 ngày 29/6/2024 về kỳ họp thứ 7 Quốc hội khóa XV và chỉ đạo của Thủ tướng Chính phủ tại Chỉ thị số 16/CT-TTg ngày 20/5/2024, </w:t>
      </w:r>
      <w:r w:rsidRPr="007721C0">
        <w:rPr>
          <w:lang w:val="en-US"/>
        </w:rPr>
        <w:t>các bộ, ngành, địa phương, Tổ công tác và Hội đồng tư vấn tập trung vào các giải pháp và nhiệm vụ trọng tâm sau:</w:t>
      </w:r>
    </w:p>
    <w:p w:rsidR="00DB7F0D" w:rsidRPr="007721C0" w:rsidRDefault="00DB7F0D" w:rsidP="00F51789">
      <w:pPr>
        <w:numPr>
          <w:ilvl w:val="0"/>
          <w:numId w:val="7"/>
        </w:numPr>
        <w:shd w:val="clear" w:color="auto" w:fill="FFFFFF"/>
        <w:tabs>
          <w:tab w:val="left" w:pos="993"/>
        </w:tabs>
        <w:spacing w:before="100" w:after="100"/>
        <w:ind w:left="0" w:firstLine="709"/>
        <w:jc w:val="both"/>
        <w:rPr>
          <w:b/>
          <w:lang w:val="en-US"/>
        </w:rPr>
      </w:pPr>
      <w:r w:rsidRPr="007721C0">
        <w:rPr>
          <w:b/>
          <w:lang w:val="en-US"/>
        </w:rPr>
        <w:t>Đối với các bộ, ngành, địa phương</w:t>
      </w:r>
    </w:p>
    <w:p w:rsidR="00AB325C" w:rsidRPr="002D0691" w:rsidRDefault="00AB325C" w:rsidP="00F51789">
      <w:pPr>
        <w:pStyle w:val="Vanban"/>
        <w:widowControl w:val="0"/>
        <w:tabs>
          <w:tab w:val="left" w:pos="851"/>
        </w:tabs>
        <w:suppressAutoHyphens w:val="0"/>
        <w:spacing w:before="100" w:after="100" w:line="240" w:lineRule="auto"/>
        <w:ind w:firstLine="709"/>
        <w:rPr>
          <w:b/>
          <w:iCs/>
          <w:color w:val="auto"/>
          <w:spacing w:val="0"/>
          <w:kern w:val="0"/>
          <w:szCs w:val="28"/>
          <w:lang w:val="en-US"/>
        </w:rPr>
      </w:pPr>
      <w:r w:rsidRPr="002D0691">
        <w:rPr>
          <w:b/>
          <w:iCs/>
          <w:color w:val="auto"/>
          <w:spacing w:val="0"/>
          <w:kern w:val="0"/>
          <w:szCs w:val="28"/>
          <w:lang w:val="en-US"/>
        </w:rPr>
        <w:t xml:space="preserve">a) Về cải cách quy định TTHC </w:t>
      </w:r>
    </w:p>
    <w:p w:rsidR="00952926" w:rsidRPr="007721C0" w:rsidRDefault="00AB325C" w:rsidP="00F51789">
      <w:pPr>
        <w:pStyle w:val="Vanban"/>
        <w:widowControl w:val="0"/>
        <w:tabs>
          <w:tab w:val="left" w:pos="851"/>
        </w:tabs>
        <w:suppressAutoHyphens w:val="0"/>
        <w:spacing w:before="100" w:after="100" w:line="240" w:lineRule="auto"/>
        <w:ind w:firstLine="709"/>
        <w:rPr>
          <w:iCs/>
          <w:color w:val="auto"/>
          <w:spacing w:val="0"/>
          <w:kern w:val="0"/>
          <w:szCs w:val="28"/>
          <w:lang w:val="en-US"/>
        </w:rPr>
      </w:pPr>
      <w:r w:rsidRPr="007721C0">
        <w:rPr>
          <w:iCs/>
          <w:color w:val="auto"/>
          <w:spacing w:val="0"/>
          <w:kern w:val="0"/>
          <w:szCs w:val="28"/>
          <w:lang w:val="en-US"/>
        </w:rPr>
        <w:t xml:space="preserve">- </w:t>
      </w:r>
      <w:r w:rsidR="005F1988" w:rsidRPr="007721C0">
        <w:rPr>
          <w:iCs/>
          <w:color w:val="auto"/>
          <w:spacing w:val="0"/>
          <w:kern w:val="0"/>
          <w:szCs w:val="28"/>
          <w:lang w:val="en-US"/>
        </w:rPr>
        <w:t>T</w:t>
      </w:r>
      <w:r w:rsidR="00952926" w:rsidRPr="007721C0">
        <w:rPr>
          <w:iCs/>
          <w:color w:val="auto"/>
          <w:spacing w:val="0"/>
          <w:kern w:val="0"/>
          <w:szCs w:val="28"/>
          <w:lang w:val="en-US"/>
        </w:rPr>
        <w:t>ăng cường kiểm soát chặt chẽ, đánh giá tác động chính sách cụ thể đối với quy định TTHC, thực hiện tốt việc tham vấn (tăng cường tham vấn trên môi trường điện tử), thẩm định, thẩm tra dự án, dự thảo VBQPPL, bảo đảm các TTHC được quy định đúng thẩm quyền, cần thiết, hợp lý, khả thi, thực hiện trên môi trường điện tử và chi phí tuân thủ thấp nhất.</w:t>
      </w:r>
    </w:p>
    <w:p w:rsidR="00DB7F0D" w:rsidRDefault="005F1988" w:rsidP="00F51789">
      <w:pPr>
        <w:pStyle w:val="Vanban"/>
        <w:widowControl w:val="0"/>
        <w:numPr>
          <w:ilvl w:val="0"/>
          <w:numId w:val="8"/>
        </w:numPr>
        <w:tabs>
          <w:tab w:val="left" w:pos="851"/>
        </w:tabs>
        <w:suppressAutoHyphens w:val="0"/>
        <w:spacing w:before="100" w:after="100" w:line="240" w:lineRule="auto"/>
        <w:ind w:left="0" w:firstLine="709"/>
        <w:rPr>
          <w:iCs/>
          <w:color w:val="auto"/>
          <w:spacing w:val="0"/>
          <w:kern w:val="0"/>
          <w:szCs w:val="28"/>
          <w:lang w:val="en-US"/>
        </w:rPr>
      </w:pPr>
      <w:r w:rsidRPr="007721C0">
        <w:rPr>
          <w:iCs/>
          <w:color w:val="auto"/>
          <w:spacing w:val="0"/>
          <w:kern w:val="0"/>
          <w:szCs w:val="28"/>
          <w:lang w:val="en-US"/>
        </w:rPr>
        <w:lastRenderedPageBreak/>
        <w:t>Cắt giảm, đơn giản hóa TTHC thực chất, hiệu quả, trong đó t</w:t>
      </w:r>
      <w:r w:rsidR="00952926" w:rsidRPr="007721C0">
        <w:rPr>
          <w:iCs/>
          <w:color w:val="auto"/>
          <w:spacing w:val="0"/>
          <w:kern w:val="0"/>
          <w:szCs w:val="28"/>
          <w:lang w:val="en-US"/>
        </w:rPr>
        <w:t xml:space="preserve">ổ chức thực thi </w:t>
      </w:r>
      <w:r w:rsidR="00F15CDA" w:rsidRPr="007721C0">
        <w:rPr>
          <w:iCs/>
          <w:color w:val="auto"/>
          <w:spacing w:val="0"/>
          <w:kern w:val="0"/>
          <w:szCs w:val="28"/>
          <w:lang w:val="en-US"/>
        </w:rPr>
        <w:t xml:space="preserve">các </w:t>
      </w:r>
      <w:r w:rsidR="00395304" w:rsidRPr="007721C0">
        <w:rPr>
          <w:iCs/>
          <w:color w:val="auto"/>
          <w:spacing w:val="0"/>
          <w:kern w:val="0"/>
          <w:szCs w:val="28"/>
          <w:lang w:val="en-US"/>
        </w:rPr>
        <w:t xml:space="preserve">phương án </w:t>
      </w:r>
      <w:r w:rsidR="00F15CDA" w:rsidRPr="007721C0">
        <w:rPr>
          <w:iCs/>
          <w:color w:val="auto"/>
          <w:spacing w:val="0"/>
          <w:kern w:val="0"/>
          <w:szCs w:val="28"/>
          <w:lang w:val="en-US"/>
        </w:rPr>
        <w:t>cắt giảm, đơn giản hóa đã được Chính phủ, Thủ tướng Chính phủ phê duyệt</w:t>
      </w:r>
      <w:r w:rsidR="00395304" w:rsidRPr="007721C0">
        <w:rPr>
          <w:iCs/>
          <w:color w:val="auto"/>
          <w:spacing w:val="0"/>
          <w:kern w:val="0"/>
          <w:szCs w:val="28"/>
          <w:lang w:val="en-US"/>
        </w:rPr>
        <w:t xml:space="preserve">, </w:t>
      </w:r>
      <w:r w:rsidR="00952926" w:rsidRPr="007721C0">
        <w:rPr>
          <w:iCs/>
          <w:color w:val="auto"/>
          <w:spacing w:val="0"/>
          <w:kern w:val="0"/>
          <w:szCs w:val="28"/>
          <w:lang w:val="en-US"/>
        </w:rPr>
        <w:t>phương án cắt giảm, đơn giản hóa quy định, TTHC liên quan đến phiếu lý lịch tư pháp theo Quyết định số 498/QĐ-TTg ngày 11 tháng 6 năm 2024 của Thủ tướng Chính phủ.</w:t>
      </w:r>
      <w:r w:rsidRPr="007721C0">
        <w:rPr>
          <w:iCs/>
          <w:color w:val="auto"/>
          <w:spacing w:val="0"/>
          <w:kern w:val="0"/>
          <w:szCs w:val="28"/>
          <w:lang w:val="en-US"/>
        </w:rPr>
        <w:t xml:space="preserve"> Đồng thời, tổ chức thực thi phương án cắt giảm, đơn giản hóa giấy phép liên quan đến hoạt động kinh doanh</w:t>
      </w:r>
      <w:r w:rsidR="00DB7F0D" w:rsidRPr="007721C0">
        <w:rPr>
          <w:iCs/>
          <w:color w:val="auto"/>
          <w:spacing w:val="0"/>
          <w:kern w:val="0"/>
          <w:szCs w:val="28"/>
          <w:lang w:val="en-US"/>
        </w:rPr>
        <w:t xml:space="preserve"> ngay sau khi được Thủ tướng</w:t>
      </w:r>
      <w:r w:rsidR="00A52C51" w:rsidRPr="007721C0">
        <w:rPr>
          <w:iCs/>
          <w:color w:val="auto"/>
          <w:spacing w:val="0"/>
          <w:kern w:val="0"/>
          <w:szCs w:val="28"/>
          <w:lang w:val="en-US"/>
        </w:rPr>
        <w:t xml:space="preserve"> </w:t>
      </w:r>
      <w:r w:rsidR="00DB7F0D" w:rsidRPr="007721C0">
        <w:rPr>
          <w:iCs/>
          <w:color w:val="auto"/>
          <w:spacing w:val="0"/>
          <w:kern w:val="0"/>
          <w:szCs w:val="28"/>
          <w:lang w:val="en-US"/>
        </w:rPr>
        <w:t>Chính phủ phê duyệt.</w:t>
      </w:r>
    </w:p>
    <w:p w:rsidR="002D0691" w:rsidRPr="007721C0" w:rsidRDefault="002D0691" w:rsidP="00F51789">
      <w:pPr>
        <w:pStyle w:val="Vanban"/>
        <w:widowControl w:val="0"/>
        <w:numPr>
          <w:ilvl w:val="0"/>
          <w:numId w:val="8"/>
        </w:numPr>
        <w:tabs>
          <w:tab w:val="left" w:pos="851"/>
        </w:tabs>
        <w:suppressAutoHyphens w:val="0"/>
        <w:spacing w:before="100" w:after="100" w:line="240" w:lineRule="auto"/>
        <w:ind w:left="0" w:firstLine="709"/>
        <w:rPr>
          <w:iCs/>
          <w:color w:val="auto"/>
          <w:spacing w:val="0"/>
          <w:kern w:val="0"/>
          <w:szCs w:val="28"/>
          <w:lang w:val="en-US"/>
        </w:rPr>
      </w:pPr>
      <w:r>
        <w:rPr>
          <w:iCs/>
          <w:color w:val="auto"/>
          <w:spacing w:val="0"/>
          <w:kern w:val="0"/>
          <w:szCs w:val="28"/>
          <w:lang w:val="en-US"/>
        </w:rPr>
        <w:t>Xây dựng, trình Chính phủ ban hành Chương trình cắt giảm giấy phép và đổi mới hoạt động cấp phép tại các bộ, ngành, địa phương giai đoạn 2025-2030</w:t>
      </w:r>
      <w:r w:rsidRPr="002D0691">
        <w:t xml:space="preserve"> </w:t>
      </w:r>
      <w:r w:rsidRPr="002D0691">
        <w:rPr>
          <w:iCs/>
          <w:color w:val="auto"/>
          <w:spacing w:val="0"/>
          <w:kern w:val="0"/>
          <w:szCs w:val="28"/>
          <w:lang w:val="en-US"/>
        </w:rPr>
        <w:t>để tiếp tục cắt giảm thực chất, hiệu quả TTHC tạo môi trường sản xuất kinh doanh thuận lợi, minh bạch, góp phần thúc đẩy phát triển kinh tế - xã hội</w:t>
      </w:r>
      <w:r>
        <w:rPr>
          <w:iCs/>
          <w:color w:val="auto"/>
          <w:spacing w:val="0"/>
          <w:kern w:val="0"/>
          <w:szCs w:val="28"/>
          <w:lang w:val="en-US"/>
        </w:rPr>
        <w:t>.</w:t>
      </w:r>
    </w:p>
    <w:p w:rsidR="00DB7F0D" w:rsidRPr="007721C0" w:rsidRDefault="00DB7F0D" w:rsidP="00F51789">
      <w:pPr>
        <w:pStyle w:val="Vanban"/>
        <w:widowControl w:val="0"/>
        <w:numPr>
          <w:ilvl w:val="0"/>
          <w:numId w:val="8"/>
        </w:numPr>
        <w:tabs>
          <w:tab w:val="left" w:pos="851"/>
        </w:tabs>
        <w:suppressAutoHyphens w:val="0"/>
        <w:spacing w:before="100" w:after="100" w:line="240" w:lineRule="auto"/>
        <w:ind w:left="0" w:firstLine="709"/>
        <w:rPr>
          <w:iCs/>
          <w:color w:val="auto"/>
          <w:spacing w:val="0"/>
          <w:kern w:val="0"/>
          <w:szCs w:val="28"/>
          <w:lang w:val="en-US"/>
        </w:rPr>
      </w:pPr>
      <w:r w:rsidRPr="007721C0">
        <w:rPr>
          <w:iCs/>
          <w:color w:val="auto"/>
          <w:spacing w:val="0"/>
          <w:kern w:val="0"/>
          <w:szCs w:val="28"/>
          <w:lang w:val="en-US"/>
        </w:rPr>
        <w:t xml:space="preserve">Khẩn trương hoàn thành việc sửa đổi, bổ sung các </w:t>
      </w:r>
      <w:r w:rsidR="00782820" w:rsidRPr="007721C0">
        <w:rPr>
          <w:iCs/>
          <w:color w:val="auto"/>
          <w:spacing w:val="0"/>
          <w:kern w:val="0"/>
          <w:szCs w:val="28"/>
          <w:lang w:val="en-US"/>
        </w:rPr>
        <w:t>VBPPL</w:t>
      </w:r>
      <w:r w:rsidRPr="007721C0">
        <w:rPr>
          <w:iCs/>
          <w:color w:val="auto"/>
          <w:spacing w:val="0"/>
          <w:kern w:val="0"/>
          <w:szCs w:val="28"/>
          <w:lang w:val="en-US"/>
        </w:rPr>
        <w:t xml:space="preserve"> thuộc thẩm quyền của Chính phủ, Thủ tướng Chính phủ, Bộ trưởng, Thủ trưởng cơ quan</w:t>
      </w:r>
      <w:r w:rsidR="001F2B37" w:rsidRPr="007721C0">
        <w:rPr>
          <w:iCs/>
          <w:color w:val="auto"/>
          <w:spacing w:val="0"/>
          <w:kern w:val="0"/>
          <w:szCs w:val="28"/>
          <w:lang w:val="en-US"/>
        </w:rPr>
        <w:t xml:space="preserve"> </w:t>
      </w:r>
      <w:r w:rsidRPr="007721C0">
        <w:rPr>
          <w:iCs/>
          <w:color w:val="auto"/>
          <w:spacing w:val="0"/>
          <w:kern w:val="0"/>
          <w:szCs w:val="28"/>
          <w:lang w:val="en-US"/>
        </w:rPr>
        <w:t xml:space="preserve">ngang bộ để tổ chức thực thi phương án phân cấp thẩm quyền giải quyết </w:t>
      </w:r>
      <w:r w:rsidRPr="007721C0">
        <w:rPr>
          <w:iCs/>
          <w:color w:val="auto"/>
          <w:spacing w:val="0"/>
          <w:szCs w:val="28"/>
          <w:lang w:val="en-US"/>
        </w:rPr>
        <w:t>TTHC</w:t>
      </w:r>
      <w:r w:rsidRPr="007721C0">
        <w:rPr>
          <w:iCs/>
          <w:color w:val="auto"/>
          <w:spacing w:val="0"/>
          <w:szCs w:val="28"/>
        </w:rPr>
        <w:t xml:space="preserve"> </w:t>
      </w:r>
      <w:r w:rsidRPr="007721C0">
        <w:rPr>
          <w:iCs/>
          <w:color w:val="auto"/>
          <w:spacing w:val="0"/>
          <w:kern w:val="0"/>
          <w:szCs w:val="28"/>
          <w:lang w:val="en-US"/>
        </w:rPr>
        <w:t>đã được Thủ tướng Chính phủ phê duyệt tại Quyết định số 1015/QĐ-TTg ngày 30</w:t>
      </w:r>
      <w:r w:rsidR="005F1988" w:rsidRPr="007721C0">
        <w:rPr>
          <w:iCs/>
          <w:color w:val="auto"/>
          <w:spacing w:val="0"/>
          <w:kern w:val="0"/>
          <w:szCs w:val="28"/>
          <w:lang w:val="en-US"/>
        </w:rPr>
        <w:t xml:space="preserve"> tháng </w:t>
      </w:r>
      <w:r w:rsidRPr="007721C0">
        <w:rPr>
          <w:iCs/>
          <w:color w:val="auto"/>
          <w:spacing w:val="0"/>
          <w:kern w:val="0"/>
          <w:szCs w:val="28"/>
          <w:lang w:val="en-US"/>
        </w:rPr>
        <w:t>8</w:t>
      </w:r>
      <w:r w:rsidR="005F1988" w:rsidRPr="007721C0">
        <w:rPr>
          <w:iCs/>
          <w:color w:val="auto"/>
          <w:spacing w:val="0"/>
          <w:kern w:val="0"/>
          <w:szCs w:val="28"/>
          <w:lang w:val="en-US"/>
        </w:rPr>
        <w:t xml:space="preserve"> năm </w:t>
      </w:r>
      <w:r w:rsidRPr="007721C0">
        <w:rPr>
          <w:iCs/>
          <w:color w:val="auto"/>
          <w:spacing w:val="0"/>
          <w:kern w:val="0"/>
          <w:szCs w:val="28"/>
          <w:lang w:val="en-US"/>
        </w:rPr>
        <w:t>2022</w:t>
      </w:r>
      <w:r w:rsidR="001C3D9C" w:rsidRPr="007721C0">
        <w:rPr>
          <w:iCs/>
          <w:color w:val="auto"/>
          <w:spacing w:val="0"/>
          <w:kern w:val="0"/>
          <w:szCs w:val="28"/>
          <w:lang w:val="en-US"/>
        </w:rPr>
        <w:t xml:space="preserve"> trên cơ sở đảm bảo tính thống nhất của hệ thống pháp luật và phù hợp với tình hình thực tiễn</w:t>
      </w:r>
      <w:r w:rsidRPr="007721C0">
        <w:rPr>
          <w:iCs/>
          <w:color w:val="auto"/>
          <w:spacing w:val="0"/>
          <w:kern w:val="0"/>
          <w:szCs w:val="28"/>
          <w:lang w:val="en-US"/>
        </w:rPr>
        <w:t>.</w:t>
      </w:r>
    </w:p>
    <w:p w:rsidR="00DB7F0D" w:rsidRPr="007721C0" w:rsidRDefault="005F1988" w:rsidP="00F51789">
      <w:pPr>
        <w:pStyle w:val="Vanban"/>
        <w:widowControl w:val="0"/>
        <w:numPr>
          <w:ilvl w:val="0"/>
          <w:numId w:val="8"/>
        </w:numPr>
        <w:tabs>
          <w:tab w:val="left" w:pos="851"/>
        </w:tabs>
        <w:suppressAutoHyphens w:val="0"/>
        <w:spacing w:before="100" w:after="100" w:line="240" w:lineRule="auto"/>
        <w:ind w:left="0" w:firstLine="709"/>
        <w:rPr>
          <w:iCs/>
          <w:color w:val="auto"/>
          <w:spacing w:val="0"/>
          <w:kern w:val="0"/>
          <w:szCs w:val="28"/>
          <w:lang w:val="en-US"/>
        </w:rPr>
      </w:pPr>
      <w:r w:rsidRPr="007721C0">
        <w:rPr>
          <w:iCs/>
          <w:color w:val="auto"/>
          <w:spacing w:val="0"/>
          <w:kern w:val="0"/>
          <w:szCs w:val="28"/>
          <w:lang w:val="en-US"/>
        </w:rPr>
        <w:t>Khẩn trương công bố đầy đủ TTHC nội bộ giữa cơ quan hành chính nhà nước với nhau, giữa các bộ, cơ quan với các Cục, Vụ và tương đương, giữa Ủy ban nhân dân cấp tỉnh với các sở, ngành, Ủy ban nhân dân cấp huyện; xác định đúng phạm vi, thẩm quyền ban hành TTHC nội bộ để rà soát, đơn giản hóa, bảo đảm mục tiêu, yêu cầu đề ra tại Quyết định số 1085/QĐ-TTg ngày 15 tháng 9 năm 2022 của Thủ tướng Chính phủ.</w:t>
      </w:r>
    </w:p>
    <w:p w:rsidR="00AB325C" w:rsidRPr="002D0691" w:rsidRDefault="00AB325C" w:rsidP="00F51789">
      <w:pPr>
        <w:pStyle w:val="Vanban"/>
        <w:widowControl w:val="0"/>
        <w:tabs>
          <w:tab w:val="left" w:pos="851"/>
        </w:tabs>
        <w:suppressAutoHyphens w:val="0"/>
        <w:spacing w:before="100" w:after="100" w:line="240" w:lineRule="auto"/>
        <w:rPr>
          <w:b/>
          <w:iCs/>
          <w:color w:val="auto"/>
          <w:spacing w:val="0"/>
          <w:kern w:val="0"/>
          <w:szCs w:val="28"/>
          <w:lang w:val="en-US"/>
        </w:rPr>
      </w:pPr>
      <w:r w:rsidRPr="002D0691">
        <w:rPr>
          <w:b/>
          <w:iCs/>
          <w:color w:val="auto"/>
          <w:spacing w:val="0"/>
          <w:kern w:val="0"/>
          <w:szCs w:val="28"/>
          <w:lang w:val="en-US"/>
        </w:rPr>
        <w:t xml:space="preserve">b) Về cải cách việc thực hiện TTHC </w:t>
      </w:r>
    </w:p>
    <w:p w:rsidR="00B32371" w:rsidRPr="007721C0" w:rsidRDefault="005F1988" w:rsidP="00B32371">
      <w:pPr>
        <w:pStyle w:val="Vanban"/>
        <w:widowControl w:val="0"/>
        <w:numPr>
          <w:ilvl w:val="0"/>
          <w:numId w:val="8"/>
        </w:numPr>
        <w:tabs>
          <w:tab w:val="left" w:pos="851"/>
        </w:tabs>
        <w:suppressAutoHyphens w:val="0"/>
        <w:spacing w:before="100" w:after="100" w:line="240" w:lineRule="auto"/>
        <w:ind w:left="0" w:firstLine="709"/>
        <w:rPr>
          <w:iCs/>
          <w:color w:val="auto"/>
          <w:spacing w:val="0"/>
          <w:kern w:val="0"/>
          <w:szCs w:val="28"/>
          <w:lang w:val="en-US"/>
        </w:rPr>
      </w:pPr>
      <w:r w:rsidRPr="007721C0">
        <w:rPr>
          <w:iCs/>
          <w:color w:val="auto"/>
          <w:spacing w:val="0"/>
          <w:kern w:val="0"/>
          <w:szCs w:val="28"/>
          <w:lang w:val="en-US"/>
        </w:rPr>
        <w:t>Tập trung triển khai các nhóm dịch vụ công trực tuyến liên thông ưu tiên rà soát tái cấu trúc quy trình tích hợp, cung cấp trên Cổng Dịch vụ công quốc gia năm 2024 theo Quyết định số 206/QĐ-TTg ngày 28 tháng 02 năm 2024 của Thủ tướng Chính phủ</w:t>
      </w:r>
      <w:r w:rsidR="005162DD" w:rsidRPr="007721C0">
        <w:rPr>
          <w:spacing w:val="0"/>
          <w:szCs w:val="28"/>
          <w:lang w:val="en-US"/>
        </w:rPr>
        <w:t>.</w:t>
      </w:r>
      <w:r w:rsidR="005162DD" w:rsidRPr="007721C0">
        <w:rPr>
          <w:iCs/>
          <w:color w:val="auto"/>
          <w:spacing w:val="0"/>
          <w:kern w:val="0"/>
          <w:szCs w:val="28"/>
          <w:lang w:val="en-US"/>
        </w:rPr>
        <w:t xml:space="preserve"> </w:t>
      </w:r>
      <w:r w:rsidRPr="007721C0">
        <w:rPr>
          <w:iCs/>
          <w:color w:val="auto"/>
          <w:spacing w:val="0"/>
          <w:kern w:val="0"/>
          <w:szCs w:val="28"/>
          <w:lang w:val="en-US"/>
        </w:rPr>
        <w:t>Đồng thời, rà soát, đánh giá, cấu trúc lại quy trình đối với các dịch vụ công trực tuyến đang được tích hợp, cung cấp trên Cổng Dịch vụ công quốc gia, bảo đảm nguyên tắc lấy người dùng là trung tâm</w:t>
      </w:r>
      <w:r w:rsidR="00DB7F0D" w:rsidRPr="007721C0">
        <w:rPr>
          <w:iCs/>
          <w:color w:val="auto"/>
          <w:spacing w:val="0"/>
          <w:kern w:val="0"/>
          <w:szCs w:val="28"/>
          <w:lang w:val="en-US"/>
        </w:rPr>
        <w:t>.</w:t>
      </w:r>
    </w:p>
    <w:p w:rsidR="00B32371" w:rsidRPr="007721C0" w:rsidRDefault="00AB325C" w:rsidP="00B32371">
      <w:pPr>
        <w:pStyle w:val="Vanban"/>
        <w:widowControl w:val="0"/>
        <w:numPr>
          <w:ilvl w:val="0"/>
          <w:numId w:val="8"/>
        </w:numPr>
        <w:tabs>
          <w:tab w:val="left" w:pos="851"/>
        </w:tabs>
        <w:suppressAutoHyphens w:val="0"/>
        <w:spacing w:before="100" w:after="100" w:line="240" w:lineRule="auto"/>
        <w:ind w:left="0" w:firstLine="709"/>
        <w:rPr>
          <w:iCs/>
          <w:color w:val="auto"/>
          <w:spacing w:val="0"/>
          <w:kern w:val="0"/>
          <w:szCs w:val="28"/>
          <w:lang w:val="en-US"/>
        </w:rPr>
      </w:pPr>
      <w:r w:rsidRPr="007721C0">
        <w:rPr>
          <w:iCs/>
          <w:color w:val="auto"/>
          <w:spacing w:val="0"/>
          <w:kern w:val="0"/>
          <w:szCs w:val="28"/>
          <w:lang w:val="en-US"/>
        </w:rPr>
        <w:t xml:space="preserve"> </w:t>
      </w:r>
      <w:r w:rsidR="005162DD" w:rsidRPr="007721C0">
        <w:rPr>
          <w:iCs/>
          <w:color w:val="auto"/>
          <w:spacing w:val="0"/>
          <w:kern w:val="0"/>
          <w:szCs w:val="28"/>
          <w:lang w:val="en-US"/>
        </w:rPr>
        <w:t>Tổ chức triển khai hiệu quả 02 nhóm TTHC</w:t>
      </w:r>
      <w:r w:rsidRPr="007721C0">
        <w:rPr>
          <w:iCs/>
          <w:color w:val="auto"/>
          <w:spacing w:val="0"/>
          <w:kern w:val="0"/>
          <w:szCs w:val="28"/>
          <w:lang w:val="en-US"/>
        </w:rPr>
        <w:t xml:space="preserve"> liên thông</w:t>
      </w:r>
      <w:r w:rsidR="005162DD" w:rsidRPr="007721C0">
        <w:rPr>
          <w:iCs/>
          <w:color w:val="auto"/>
          <w:spacing w:val="0"/>
          <w:kern w:val="0"/>
          <w:szCs w:val="28"/>
          <w:lang w:val="en-US"/>
        </w:rPr>
        <w:t xml:space="preserve">: </w:t>
      </w:r>
      <w:r w:rsidRPr="007721C0">
        <w:rPr>
          <w:iCs/>
          <w:color w:val="auto"/>
          <w:spacing w:val="0"/>
          <w:kern w:val="0"/>
          <w:szCs w:val="28"/>
          <w:lang w:val="en-US"/>
        </w:rPr>
        <w:t>Đ</w:t>
      </w:r>
      <w:r w:rsidR="005162DD" w:rsidRPr="007721C0">
        <w:rPr>
          <w:iCs/>
          <w:color w:val="auto"/>
          <w:spacing w:val="0"/>
          <w:kern w:val="0"/>
          <w:szCs w:val="28"/>
          <w:lang w:val="en-US"/>
        </w:rPr>
        <w:t>ăng ký khai sinh, đăng ký thường trú, cấp thẻ bảo hiểm y tế cho trẻ em dưới 6 tuổi; đăng ký khai tử, xóa đăng ký thường trú, giải quyết mai táng phí, tử tuất theo Nghị định số 63/2024/NĐ-CP của Chính phủ</w:t>
      </w:r>
      <w:r w:rsidRPr="007721C0">
        <w:rPr>
          <w:iCs/>
          <w:color w:val="auto"/>
          <w:spacing w:val="0"/>
          <w:kern w:val="0"/>
          <w:szCs w:val="28"/>
          <w:lang w:val="en-US"/>
        </w:rPr>
        <w:t>.</w:t>
      </w:r>
    </w:p>
    <w:p w:rsidR="00B32371" w:rsidRPr="007721C0" w:rsidRDefault="00B32371" w:rsidP="00B32371">
      <w:pPr>
        <w:pStyle w:val="Vanban"/>
        <w:widowControl w:val="0"/>
        <w:numPr>
          <w:ilvl w:val="0"/>
          <w:numId w:val="8"/>
        </w:numPr>
        <w:tabs>
          <w:tab w:val="left" w:pos="851"/>
        </w:tabs>
        <w:suppressAutoHyphens w:val="0"/>
        <w:spacing w:before="100" w:after="100" w:line="240" w:lineRule="auto"/>
        <w:ind w:left="0" w:firstLine="709"/>
        <w:rPr>
          <w:iCs/>
          <w:color w:val="auto"/>
          <w:spacing w:val="0"/>
          <w:kern w:val="0"/>
          <w:szCs w:val="28"/>
          <w:lang w:val="en-US"/>
        </w:rPr>
      </w:pPr>
      <w:r w:rsidRPr="007721C0">
        <w:rPr>
          <w:iCs/>
          <w:color w:val="auto"/>
          <w:spacing w:val="0"/>
          <w:kern w:val="0"/>
          <w:szCs w:val="28"/>
          <w:lang w:val="en-US"/>
        </w:rPr>
        <w:t>Thúc đẩy triển khai Đề án 06, nhất là việc tháo gỡ các điểm nghẽn trong quá trình triển khai và hoàn thành việc xây dựng, hoàn thiện, nâng cấp các cơ sở dữ liệu quốc gia, chuyên ngành, kết nối, chia sẻ với Cơ sở dữ liệu quốc gia về dân cư để tiếp tục đơn giản hoá giấy tờ khi thực hiện TTHC và đẩy mạnh dịch vụ công trực tuyến, dịch vụ công trực tuyến liên thông.</w:t>
      </w:r>
    </w:p>
    <w:p w:rsidR="00755F53" w:rsidRDefault="005F1988" w:rsidP="00F51789">
      <w:pPr>
        <w:pStyle w:val="Vanban"/>
        <w:widowControl w:val="0"/>
        <w:numPr>
          <w:ilvl w:val="0"/>
          <w:numId w:val="8"/>
        </w:numPr>
        <w:tabs>
          <w:tab w:val="left" w:pos="851"/>
        </w:tabs>
        <w:suppressAutoHyphens w:val="0"/>
        <w:spacing w:before="100" w:after="100" w:line="240" w:lineRule="auto"/>
        <w:ind w:left="0" w:firstLine="709"/>
        <w:rPr>
          <w:iCs/>
          <w:color w:val="auto"/>
          <w:spacing w:val="0"/>
          <w:kern w:val="0"/>
          <w:szCs w:val="28"/>
          <w:lang w:val="en-US"/>
        </w:rPr>
      </w:pPr>
      <w:r w:rsidRPr="007721C0">
        <w:rPr>
          <w:iCs/>
          <w:color w:val="auto"/>
          <w:spacing w:val="0"/>
          <w:kern w:val="0"/>
          <w:szCs w:val="28"/>
          <w:lang w:val="en-US"/>
        </w:rPr>
        <w:t xml:space="preserve">Đẩy nhanh tiến độ triển khai thí điểm </w:t>
      </w:r>
      <w:r w:rsidR="00304E59" w:rsidRPr="007721C0">
        <w:rPr>
          <w:iCs/>
          <w:color w:val="auto"/>
          <w:spacing w:val="0"/>
          <w:kern w:val="0"/>
          <w:szCs w:val="28"/>
          <w:lang w:val="en-US"/>
        </w:rPr>
        <w:t>mô hình</w:t>
      </w:r>
      <w:r w:rsidR="00DD7F5D" w:rsidRPr="007721C0">
        <w:rPr>
          <w:iCs/>
          <w:color w:val="auto"/>
          <w:spacing w:val="0"/>
          <w:kern w:val="0"/>
          <w:szCs w:val="28"/>
          <w:lang w:val="en-US"/>
        </w:rPr>
        <w:t xml:space="preserve"> Trung tâm phục vụ hành chính công một cấp trực thuộc Ủy ban nhân dân cấp tỉnh tại</w:t>
      </w:r>
      <w:r w:rsidR="00304E59" w:rsidRPr="007721C0">
        <w:rPr>
          <w:iCs/>
          <w:color w:val="auto"/>
          <w:spacing w:val="0"/>
          <w:kern w:val="0"/>
          <w:szCs w:val="28"/>
          <w:lang w:val="en-US"/>
        </w:rPr>
        <w:t xml:space="preserve"> Hà Nội, Tp Hồ Chí Minh, Bình Dương, Quảng Ninh </w:t>
      </w:r>
      <w:r w:rsidR="00755F53" w:rsidRPr="007721C0">
        <w:rPr>
          <w:iCs/>
          <w:color w:val="auto"/>
          <w:spacing w:val="0"/>
          <w:kern w:val="0"/>
          <w:szCs w:val="28"/>
          <w:lang w:val="en-US"/>
        </w:rPr>
        <w:t xml:space="preserve">là cơ quan hành chính có chức năng tiếp nhận, </w:t>
      </w:r>
      <w:r w:rsidR="00755F53" w:rsidRPr="007721C0">
        <w:rPr>
          <w:iCs/>
          <w:color w:val="auto"/>
          <w:spacing w:val="0"/>
          <w:kern w:val="0"/>
          <w:szCs w:val="28"/>
          <w:lang w:val="en-US"/>
        </w:rPr>
        <w:lastRenderedPageBreak/>
        <w:t xml:space="preserve">giải quyết và kiểm soát, theo dõi, đánh giá thực hiện </w:t>
      </w:r>
      <w:r w:rsidR="00A26862" w:rsidRPr="007721C0">
        <w:rPr>
          <w:iCs/>
          <w:color w:val="auto"/>
          <w:spacing w:val="0"/>
          <w:kern w:val="0"/>
          <w:szCs w:val="28"/>
          <w:lang w:val="en-US"/>
        </w:rPr>
        <w:t>TTHC</w:t>
      </w:r>
      <w:r w:rsidR="00755F53" w:rsidRPr="007721C0">
        <w:rPr>
          <w:iCs/>
          <w:color w:val="auto"/>
          <w:spacing w:val="0"/>
          <w:kern w:val="0"/>
          <w:szCs w:val="28"/>
          <w:lang w:val="en-US"/>
        </w:rPr>
        <w:t>, cung cấp dịch vụ công trên địa bàn tỉnh, thành phố trực thuộc trung ương theo cơ chế một cửa, một cửa liên thông.</w:t>
      </w:r>
    </w:p>
    <w:p w:rsidR="008D4910" w:rsidRPr="007721C0" w:rsidRDefault="008D4910" w:rsidP="00F51789">
      <w:pPr>
        <w:pStyle w:val="Vanban"/>
        <w:widowControl w:val="0"/>
        <w:numPr>
          <w:ilvl w:val="0"/>
          <w:numId w:val="8"/>
        </w:numPr>
        <w:tabs>
          <w:tab w:val="left" w:pos="851"/>
        </w:tabs>
        <w:suppressAutoHyphens w:val="0"/>
        <w:spacing w:before="100" w:after="100" w:line="240" w:lineRule="auto"/>
        <w:ind w:left="0" w:firstLine="709"/>
        <w:rPr>
          <w:iCs/>
          <w:color w:val="auto"/>
          <w:spacing w:val="0"/>
          <w:kern w:val="0"/>
          <w:szCs w:val="28"/>
          <w:lang w:val="en-US"/>
        </w:rPr>
      </w:pPr>
      <w:r>
        <w:rPr>
          <w:iCs/>
          <w:color w:val="auto"/>
          <w:spacing w:val="0"/>
          <w:kern w:val="0"/>
          <w:szCs w:val="28"/>
          <w:lang w:val="en-US"/>
        </w:rPr>
        <w:t xml:space="preserve">Tiếp tục </w:t>
      </w:r>
      <w:r w:rsidR="00134ED5">
        <w:rPr>
          <w:iCs/>
          <w:color w:val="auto"/>
          <w:spacing w:val="0"/>
          <w:kern w:val="0"/>
          <w:szCs w:val="28"/>
          <w:lang w:val="en-US"/>
        </w:rPr>
        <w:t xml:space="preserve">nâng cấp, </w:t>
      </w:r>
      <w:r w:rsidRPr="008D4910">
        <w:rPr>
          <w:iCs/>
          <w:color w:val="auto"/>
          <w:spacing w:val="0"/>
          <w:kern w:val="0"/>
          <w:szCs w:val="28"/>
          <w:lang w:val="en-US"/>
        </w:rPr>
        <w:t>hoàn thiện</w:t>
      </w:r>
      <w:r w:rsidR="00134ED5">
        <w:rPr>
          <w:iCs/>
          <w:color w:val="auto"/>
          <w:spacing w:val="0"/>
          <w:kern w:val="0"/>
          <w:szCs w:val="28"/>
          <w:lang w:val="en-US"/>
        </w:rPr>
        <w:t xml:space="preserve"> các tiêu chí</w:t>
      </w:r>
      <w:r w:rsidRPr="008D4910">
        <w:rPr>
          <w:iCs/>
          <w:color w:val="auto"/>
          <w:spacing w:val="0"/>
          <w:kern w:val="0"/>
          <w:szCs w:val="28"/>
          <w:lang w:val="en-US"/>
        </w:rPr>
        <w:t xml:space="preserve"> </w:t>
      </w:r>
      <w:r w:rsidR="00134ED5" w:rsidRPr="00134ED5">
        <w:rPr>
          <w:iCs/>
          <w:color w:val="auto"/>
          <w:spacing w:val="0"/>
          <w:kern w:val="0"/>
          <w:szCs w:val="28"/>
          <w:lang w:val="en-US"/>
        </w:rPr>
        <w:t xml:space="preserve">Bộ Chỉ số đánh giá chất lượng phục vụ người dân, doanh nghiệp </w:t>
      </w:r>
      <w:r w:rsidRPr="008D4910">
        <w:rPr>
          <w:iCs/>
          <w:color w:val="auto"/>
          <w:spacing w:val="0"/>
          <w:kern w:val="0"/>
          <w:szCs w:val="28"/>
          <w:lang w:val="en-US"/>
        </w:rPr>
        <w:t>theo Quyết định số 766/QĐ-TTg ngày 23 tháng 6 năm 2022 của Thủ tướng Chính phủ</w:t>
      </w:r>
      <w:r>
        <w:rPr>
          <w:iCs/>
          <w:color w:val="auto"/>
          <w:spacing w:val="0"/>
          <w:kern w:val="0"/>
          <w:szCs w:val="28"/>
          <w:lang w:val="en-US"/>
        </w:rPr>
        <w:t>, đây là công cụ trực tuyến đánh giá nỗ lực của các bộ, ngành, địa phương</w:t>
      </w:r>
      <w:r w:rsidR="00134ED5">
        <w:rPr>
          <w:iCs/>
          <w:color w:val="auto"/>
          <w:spacing w:val="0"/>
          <w:kern w:val="0"/>
          <w:szCs w:val="28"/>
          <w:lang w:val="en-US"/>
        </w:rPr>
        <w:t xml:space="preserve"> và phục vụ chỉ đạo, điều hành trong cải cách TTHC</w:t>
      </w:r>
      <w:r>
        <w:rPr>
          <w:iCs/>
          <w:color w:val="auto"/>
          <w:spacing w:val="0"/>
          <w:kern w:val="0"/>
          <w:szCs w:val="28"/>
          <w:lang w:val="en-US"/>
        </w:rPr>
        <w:t xml:space="preserve">. </w:t>
      </w:r>
    </w:p>
    <w:p w:rsidR="00A00027" w:rsidRPr="007721C0" w:rsidRDefault="00A00027" w:rsidP="00F51789">
      <w:pPr>
        <w:pStyle w:val="Vanban"/>
        <w:widowControl w:val="0"/>
        <w:numPr>
          <w:ilvl w:val="0"/>
          <w:numId w:val="8"/>
        </w:numPr>
        <w:tabs>
          <w:tab w:val="left" w:pos="851"/>
        </w:tabs>
        <w:suppressAutoHyphens w:val="0"/>
        <w:spacing w:before="100" w:after="100" w:line="240" w:lineRule="auto"/>
        <w:ind w:left="0" w:firstLine="709"/>
        <w:rPr>
          <w:iCs/>
          <w:color w:val="auto"/>
          <w:spacing w:val="0"/>
          <w:kern w:val="0"/>
          <w:szCs w:val="28"/>
          <w:lang w:val="en-US"/>
        </w:rPr>
      </w:pPr>
      <w:r w:rsidRPr="007721C0">
        <w:rPr>
          <w:iCs/>
          <w:color w:val="auto"/>
          <w:spacing w:val="0"/>
          <w:kern w:val="0"/>
          <w:szCs w:val="28"/>
          <w:lang w:val="en-US"/>
        </w:rPr>
        <w:t xml:space="preserve"> Đẩy mạnh truyền thông về công tác cải cách TTHC và tăng cường công tác tập huấn, huy động sự tham gia của người dân, hiệp hội, doanh nghiệp.</w:t>
      </w:r>
    </w:p>
    <w:p w:rsidR="00DB7F0D" w:rsidRPr="007721C0" w:rsidRDefault="00DB7F0D" w:rsidP="00F51789">
      <w:pPr>
        <w:numPr>
          <w:ilvl w:val="0"/>
          <w:numId w:val="7"/>
        </w:numPr>
        <w:shd w:val="clear" w:color="auto" w:fill="FFFFFF"/>
        <w:tabs>
          <w:tab w:val="left" w:pos="993"/>
        </w:tabs>
        <w:spacing w:before="100" w:after="100"/>
        <w:ind w:left="0" w:firstLine="709"/>
        <w:jc w:val="both"/>
        <w:rPr>
          <w:b/>
          <w:lang w:val="en-US"/>
        </w:rPr>
      </w:pPr>
      <w:r w:rsidRPr="007721C0">
        <w:rPr>
          <w:b/>
          <w:lang w:val="en-US"/>
        </w:rPr>
        <w:t>Đối với Tổ công tác cải cách TTHC của Thủ tướng Chính phủ</w:t>
      </w:r>
    </w:p>
    <w:p w:rsidR="00DB7F0D" w:rsidRPr="007721C0" w:rsidRDefault="00DB7F0D" w:rsidP="00F51789">
      <w:pPr>
        <w:shd w:val="clear" w:color="auto" w:fill="FFFFFF"/>
        <w:spacing w:before="100" w:after="100"/>
        <w:ind w:firstLine="709"/>
        <w:jc w:val="both"/>
        <w:rPr>
          <w:bCs/>
        </w:rPr>
      </w:pPr>
      <w:r w:rsidRPr="007721C0">
        <w:rPr>
          <w:bCs/>
          <w:lang w:val="en-US"/>
        </w:rPr>
        <w:t>- Từng thành viên Tổ công tác tiếp tục chỉ đạo, đôn đốc hoặc phối hợp chỉ đạo, đôn đốc việc thực hiện các nhiệm vụ, giải pháp về cải cách TTHC tại các bộ, ngành, địa phương được phân công phụ trách</w:t>
      </w:r>
      <w:r w:rsidR="00304E59" w:rsidRPr="007721C0">
        <w:rPr>
          <w:bCs/>
        </w:rPr>
        <w:t>, trong đó</w:t>
      </w:r>
      <w:r w:rsidR="00782820" w:rsidRPr="007721C0">
        <w:rPr>
          <w:bCs/>
          <w:lang w:val="en-US"/>
        </w:rPr>
        <w:t xml:space="preserve"> tổ chức làm việc bằng hình thức phù hợp và</w:t>
      </w:r>
      <w:r w:rsidRPr="007721C0">
        <w:rPr>
          <w:bCs/>
        </w:rPr>
        <w:t xml:space="preserve"> </w:t>
      </w:r>
      <w:r w:rsidRPr="007721C0">
        <w:rPr>
          <w:bCs/>
          <w:lang w:val="en-US"/>
        </w:rPr>
        <w:t>tích cực khai thác, sử dụng Bộ Chỉ số</w:t>
      </w:r>
      <w:bookmarkStart w:id="6" w:name="loai_1_name"/>
      <w:r w:rsidRPr="007721C0">
        <w:rPr>
          <w:bCs/>
          <w:lang w:val="en-US"/>
        </w:rPr>
        <w:t xml:space="preserve"> đánh giá chất lượng phục vụ người dân, doanh nghiệp trong thực hiện </w:t>
      </w:r>
      <w:r w:rsidRPr="007721C0">
        <w:rPr>
          <w:iCs/>
          <w:lang w:val="en-US"/>
        </w:rPr>
        <w:t>TTHC</w:t>
      </w:r>
      <w:r w:rsidRPr="007721C0">
        <w:rPr>
          <w:bCs/>
          <w:lang w:val="en-US"/>
        </w:rPr>
        <w:t>, dịch vụ công</w:t>
      </w:r>
      <w:bookmarkEnd w:id="6"/>
      <w:r w:rsidR="00304E59" w:rsidRPr="007721C0">
        <w:rPr>
          <w:bCs/>
        </w:rPr>
        <w:t xml:space="preserve"> để hỗ trợ công tác chỉ đạo, đôn đốc.</w:t>
      </w:r>
    </w:p>
    <w:p w:rsidR="00782820" w:rsidRPr="007721C0" w:rsidRDefault="00782820" w:rsidP="00F51789">
      <w:pPr>
        <w:shd w:val="clear" w:color="auto" w:fill="FFFFFF"/>
        <w:spacing w:before="100" w:after="100"/>
        <w:ind w:firstLine="709"/>
        <w:jc w:val="both"/>
        <w:rPr>
          <w:bCs/>
          <w:lang w:val="en-US"/>
        </w:rPr>
      </w:pPr>
      <w:r w:rsidRPr="007721C0">
        <w:rPr>
          <w:bCs/>
          <w:lang w:val="en-US"/>
        </w:rPr>
        <w:t xml:space="preserve">- Tiếp nhận các </w:t>
      </w:r>
      <w:r w:rsidR="001127F9">
        <w:rPr>
          <w:bCs/>
          <w:lang w:val="en-US"/>
        </w:rPr>
        <w:t>PAKN</w:t>
      </w:r>
      <w:r w:rsidRPr="007721C0">
        <w:rPr>
          <w:bCs/>
          <w:lang w:val="en-US"/>
        </w:rPr>
        <w:t xml:space="preserve"> của cá nhân, tổ chức, các thành viên Hội đồng tư vấn về cơ chế, chính sách, TTHC và chỉ đạo, đôn đốc việc xử lý </w:t>
      </w:r>
      <w:r w:rsidR="001127F9">
        <w:rPr>
          <w:bCs/>
          <w:lang w:val="en-US"/>
        </w:rPr>
        <w:t>PAKN</w:t>
      </w:r>
      <w:r w:rsidRPr="007721C0">
        <w:rPr>
          <w:bCs/>
          <w:iCs/>
        </w:rPr>
        <w:t>.</w:t>
      </w:r>
      <w:r w:rsidRPr="007721C0">
        <w:rPr>
          <w:bCs/>
          <w:lang w:val="en-US"/>
        </w:rPr>
        <w:t xml:space="preserve"> </w:t>
      </w:r>
      <w:r w:rsidR="00DB7F0D" w:rsidRPr="007721C0">
        <w:rPr>
          <w:bCs/>
          <w:lang w:val="en-US"/>
        </w:rPr>
        <w:t>Tổ chức hoặc tham gia đối thoại, làm việc bằng hình thức phù hợp và cử cán bộ có trách nhiệm liên quan tham dự đối thoại, làm việc với các cơ quan thành viên Hội đồng tư vấn và cộng đồng doanh nghiệp để lắng nghe, nhận diện các khó khăn, vướng mắc</w:t>
      </w:r>
      <w:r w:rsidR="00516DDA" w:rsidRPr="007721C0">
        <w:rPr>
          <w:bCs/>
          <w:lang w:val="en-US"/>
        </w:rPr>
        <w:t xml:space="preserve"> là</w:t>
      </w:r>
      <w:r w:rsidR="00DB7F0D" w:rsidRPr="007721C0">
        <w:rPr>
          <w:bCs/>
          <w:lang w:val="en-US"/>
        </w:rPr>
        <w:t xml:space="preserve"> rào cản cho hoạt động sản xuất, kinh doanh của doanh nghiệp và đời sống của người dân.</w:t>
      </w:r>
      <w:r w:rsidRPr="007721C0">
        <w:rPr>
          <w:bCs/>
          <w:lang w:val="en-US"/>
        </w:rPr>
        <w:t xml:space="preserve"> </w:t>
      </w:r>
      <w:r w:rsidRPr="007721C0">
        <w:rPr>
          <w:bCs/>
        </w:rPr>
        <w:t>Đ</w:t>
      </w:r>
      <w:r w:rsidRPr="007721C0">
        <w:rPr>
          <w:bCs/>
          <w:lang w:val="en-US"/>
        </w:rPr>
        <w:t>ịnh kỳ hoặc đột xuất báo cáo Tổ trưởng Tổ công tác xem xét chỉ đạo tháo gỡ.</w:t>
      </w:r>
    </w:p>
    <w:p w:rsidR="00782820" w:rsidRPr="007721C0" w:rsidRDefault="00782820" w:rsidP="00F51789">
      <w:pPr>
        <w:shd w:val="clear" w:color="auto" w:fill="FFFFFF"/>
        <w:spacing w:before="100" w:after="100"/>
        <w:ind w:firstLine="709"/>
        <w:jc w:val="both"/>
        <w:rPr>
          <w:bCs/>
          <w:lang w:val="en-US"/>
        </w:rPr>
      </w:pPr>
      <w:r w:rsidRPr="007721C0">
        <w:rPr>
          <w:bCs/>
          <w:lang w:val="en-US"/>
        </w:rPr>
        <w:t xml:space="preserve">- Tổ chức các phiên họp chuyên đề của Tổ công tác để đánh giá cụ thể tình hình, kết quả thực hiện các </w:t>
      </w:r>
      <w:r w:rsidR="00A00027" w:rsidRPr="007721C0">
        <w:rPr>
          <w:bCs/>
          <w:lang w:val="en-US"/>
        </w:rPr>
        <w:t>giải pháp, nhiệm vụ</w:t>
      </w:r>
      <w:r w:rsidRPr="007721C0">
        <w:rPr>
          <w:bCs/>
          <w:lang w:val="en-US"/>
        </w:rPr>
        <w:t xml:space="preserve"> cải cách TTHC.</w:t>
      </w:r>
      <w:r w:rsidR="00A00027" w:rsidRPr="007721C0">
        <w:rPr>
          <w:bCs/>
          <w:lang w:val="en-US"/>
        </w:rPr>
        <w:t xml:space="preserve"> Nghiên cứu, đề xuất với Thủ tướng Chính phủ</w:t>
      </w:r>
      <w:r w:rsidR="00F02544" w:rsidRPr="007721C0">
        <w:rPr>
          <w:bCs/>
          <w:lang w:val="en-US"/>
        </w:rPr>
        <w:t xml:space="preserve"> </w:t>
      </w:r>
      <w:r w:rsidR="00B77169" w:rsidRPr="007721C0">
        <w:rPr>
          <w:bCs/>
          <w:lang w:val="en-US"/>
        </w:rPr>
        <w:t>-</w:t>
      </w:r>
      <w:r w:rsidR="00A00027" w:rsidRPr="007721C0">
        <w:rPr>
          <w:bCs/>
          <w:lang w:val="en-US"/>
        </w:rPr>
        <w:t xml:space="preserve"> Tổ trưởng Tổ công tác các sáng kiến, giải pháp thúc đẩy cải cách TTHC, tăng cường kỷ luật, kỷ cương hành chính và nâng cao năng lực phản ứng chính sách.</w:t>
      </w:r>
    </w:p>
    <w:p w:rsidR="00E45891" w:rsidRPr="007721C0" w:rsidRDefault="00E45891" w:rsidP="00F51789">
      <w:pPr>
        <w:shd w:val="clear" w:color="auto" w:fill="FFFFFF"/>
        <w:spacing w:before="100" w:after="100"/>
        <w:ind w:firstLine="709"/>
        <w:jc w:val="both"/>
        <w:rPr>
          <w:bCs/>
          <w:lang w:val="en-US"/>
        </w:rPr>
      </w:pPr>
      <w:r w:rsidRPr="007721C0">
        <w:rPr>
          <w:bCs/>
          <w:lang w:val="en-US"/>
        </w:rPr>
        <w:t xml:space="preserve">- Chỉ đạo, đôn đốc việc thực hiện mô hình thí điểm Trung tâm phục vụ hành chính công một cấp trực thuộc Ủy ban nhân dân cấp tỉnh tại Hà Nội, </w:t>
      </w:r>
      <w:r w:rsidR="00516DDA" w:rsidRPr="007721C0">
        <w:rPr>
          <w:bCs/>
          <w:lang w:val="en-US"/>
        </w:rPr>
        <w:t>Tp</w:t>
      </w:r>
      <w:r w:rsidRPr="007721C0">
        <w:rPr>
          <w:bCs/>
          <w:lang w:val="en-US"/>
        </w:rPr>
        <w:t xml:space="preserve"> Hồ Chí Minh, Bình Dương, Quảng Ninh; kịp thời chỉ đạo tháo gỡ khó khăn, vướng mắc trong thực hiện.</w:t>
      </w:r>
    </w:p>
    <w:p w:rsidR="009E69C1" w:rsidRPr="007721C0" w:rsidRDefault="00DB7F0D" w:rsidP="00F51789">
      <w:pPr>
        <w:numPr>
          <w:ilvl w:val="0"/>
          <w:numId w:val="7"/>
        </w:numPr>
        <w:shd w:val="clear" w:color="auto" w:fill="FFFFFF"/>
        <w:tabs>
          <w:tab w:val="left" w:pos="993"/>
        </w:tabs>
        <w:spacing w:before="100" w:after="100"/>
        <w:ind w:left="0" w:firstLine="709"/>
        <w:jc w:val="both"/>
        <w:rPr>
          <w:bCs/>
        </w:rPr>
      </w:pPr>
      <w:r w:rsidRPr="007721C0">
        <w:rPr>
          <w:b/>
          <w:lang w:val="en-US"/>
        </w:rPr>
        <w:t>Đối với Hội đồng tư vấn cải cách TTHC của Thủ tướng Chính phủ</w:t>
      </w:r>
      <w:r w:rsidR="00395F52" w:rsidRPr="007721C0">
        <w:rPr>
          <w:b/>
          <w:lang w:val="en-US"/>
        </w:rPr>
        <w:t xml:space="preserve"> </w:t>
      </w:r>
    </w:p>
    <w:p w:rsidR="00516DDA" w:rsidRPr="007721C0" w:rsidRDefault="00516DDA" w:rsidP="00F51789">
      <w:pPr>
        <w:shd w:val="clear" w:color="auto" w:fill="FFFFFF"/>
        <w:tabs>
          <w:tab w:val="left" w:pos="993"/>
        </w:tabs>
        <w:spacing w:before="100" w:after="100"/>
        <w:ind w:firstLine="709"/>
        <w:jc w:val="both"/>
        <w:rPr>
          <w:bCs/>
        </w:rPr>
      </w:pPr>
      <w:r w:rsidRPr="007721C0">
        <w:rPr>
          <w:bCs/>
        </w:rPr>
        <w:t>- Chủ động nắm bắt, cung cấp thông tin, tài liệu chi tiết, rõ ràng về các khó khăn, vướng mắc liên quan đến cơ chế, chính sách, TTHC là rào cản cho hoạt động sản xuất, kinh doanh của doanh nghiệp và đời sống của người dân, đồng thời sắp xếp thứ tự ưu tiên cần giải quyết và đề xuất giải pháp (nếu có), báo cáo Tổ trưởng Tổ công tác chỉ đạo xử lý theo thẩm quyền.</w:t>
      </w:r>
    </w:p>
    <w:p w:rsidR="00310C0E" w:rsidRPr="007721C0" w:rsidRDefault="00310C0E" w:rsidP="00F51789">
      <w:pPr>
        <w:shd w:val="clear" w:color="auto" w:fill="FFFFFF"/>
        <w:tabs>
          <w:tab w:val="left" w:pos="993"/>
        </w:tabs>
        <w:spacing w:before="100" w:after="100"/>
        <w:ind w:firstLine="709"/>
        <w:jc w:val="both"/>
        <w:rPr>
          <w:bCs/>
        </w:rPr>
      </w:pPr>
      <w:r w:rsidRPr="007721C0">
        <w:rPr>
          <w:bCs/>
        </w:rPr>
        <w:t xml:space="preserve">- Tập trung hoàn thiện các báo cáo nghiên cứu, đề xuất các sáng kiến cải cách quy định, TTHC và đánh giá việc thực hiện cải cách TTHC tại các bộ, ngành, </w:t>
      </w:r>
      <w:r w:rsidRPr="007721C0">
        <w:rPr>
          <w:bCs/>
        </w:rPr>
        <w:lastRenderedPageBreak/>
        <w:t>địa phương, kiến nghị với Chính phủ, Thủ tướng Chính phủ các phương án cải cách cơ chế, chính sách, TTHC, tạo thuận lợi cho hoạt động sản xuất, kinh doanh của người dân, doanh nghiệp.</w:t>
      </w:r>
    </w:p>
    <w:p w:rsidR="00871E8F" w:rsidRDefault="00310C0E" w:rsidP="00F51789">
      <w:pPr>
        <w:spacing w:before="100" w:after="100"/>
        <w:ind w:firstLine="709"/>
        <w:jc w:val="both"/>
        <w:rPr>
          <w:bCs/>
        </w:rPr>
      </w:pPr>
      <w:r w:rsidRPr="007721C0">
        <w:rPr>
          <w:bCs/>
        </w:rPr>
        <w:t xml:space="preserve">- </w:t>
      </w:r>
      <w:r w:rsidR="00A00027" w:rsidRPr="007721C0">
        <w:rPr>
          <w:bCs/>
        </w:rPr>
        <w:t>Nghiêm túc tổ chức n</w:t>
      </w:r>
      <w:r w:rsidRPr="007721C0">
        <w:rPr>
          <w:bCs/>
        </w:rPr>
        <w:t xml:space="preserve">ghiên cứu, tham gia ý kiến đối với các quy định, TTHC </w:t>
      </w:r>
      <w:r w:rsidR="00A00027" w:rsidRPr="007721C0">
        <w:rPr>
          <w:bCs/>
        </w:rPr>
        <w:t xml:space="preserve">ngay </w:t>
      </w:r>
      <w:r w:rsidRPr="007721C0">
        <w:rPr>
          <w:bCs/>
        </w:rPr>
        <w:t>trong dự thảo VBQPPL, phương án cắt giảm, đơn giản hóa, phân cấp trong giải quyết TTHC của các bộ, ngành, địa phương</w:t>
      </w:r>
      <w:r w:rsidR="00A00027" w:rsidRPr="007721C0">
        <w:rPr>
          <w:bCs/>
        </w:rPr>
        <w:t>, bảo đảm chất lượng</w:t>
      </w:r>
      <w:r w:rsidRPr="007721C0">
        <w:rPr>
          <w:bCs/>
        </w:rPr>
        <w:t>.</w:t>
      </w:r>
    </w:p>
    <w:p w:rsidR="00310C0E" w:rsidRPr="00871E8F" w:rsidRDefault="00310C0E" w:rsidP="00F51789">
      <w:pPr>
        <w:spacing w:before="100" w:after="100"/>
        <w:ind w:firstLine="709"/>
        <w:jc w:val="both"/>
        <w:rPr>
          <w:b/>
          <w:bCs/>
        </w:rPr>
      </w:pPr>
      <w:r w:rsidRPr="00871E8F">
        <w:rPr>
          <w:b/>
          <w:bCs/>
        </w:rPr>
        <w:t xml:space="preserve"> </w:t>
      </w:r>
      <w:r w:rsidR="00871E8F" w:rsidRPr="00871E8F">
        <w:rPr>
          <w:b/>
          <w:bCs/>
        </w:rPr>
        <w:t>V. KIẾN NGHỊ, ĐỀ XUẤT</w:t>
      </w:r>
    </w:p>
    <w:p w:rsidR="00871E8F" w:rsidRDefault="00871E8F" w:rsidP="00F51789">
      <w:pPr>
        <w:spacing w:before="100" w:after="100"/>
        <w:ind w:firstLine="709"/>
        <w:jc w:val="both"/>
        <w:rPr>
          <w:bCs/>
          <w:lang w:val="en-US"/>
        </w:rPr>
      </w:pPr>
      <w:r>
        <w:rPr>
          <w:bCs/>
          <w:lang w:val="en-US"/>
        </w:rPr>
        <w:t>Để thúc đẩy công tác cải cách TTHC tại các bộ, ngành, địa phương và phát huy vai trò của Tổ công tác và Hội đồng tư vấn, Văn phòng Chính phủ - Cơ quan thường trực kiến nghị Thủ tướng Chính phủ và Phó Thủ tướng Chính phủ - Tổ trưởng Tổ công tác chỉ đạo một số nội dung sau:</w:t>
      </w:r>
    </w:p>
    <w:p w:rsidR="00871E8F" w:rsidRPr="00782FBD" w:rsidRDefault="00871E8F" w:rsidP="00F51789">
      <w:pPr>
        <w:spacing w:before="100" w:after="100"/>
        <w:ind w:firstLine="709"/>
        <w:jc w:val="both"/>
        <w:rPr>
          <w:bCs/>
          <w:spacing w:val="-2"/>
          <w:lang w:val="en-US"/>
        </w:rPr>
      </w:pPr>
      <w:r w:rsidRPr="00782FBD">
        <w:rPr>
          <w:bCs/>
          <w:spacing w:val="-2"/>
          <w:lang w:val="en-US"/>
        </w:rPr>
        <w:t xml:space="preserve">1. </w:t>
      </w:r>
      <w:r w:rsidR="00535640" w:rsidRPr="00782FBD">
        <w:rPr>
          <w:bCs/>
          <w:spacing w:val="-2"/>
          <w:lang w:val="en-US"/>
        </w:rPr>
        <w:t xml:space="preserve">Các bộ, ngành, địa phương và thành viên Tổ công tác, thành viên Hội đồng tư vấn </w:t>
      </w:r>
      <w:r w:rsidR="00782FBD" w:rsidRPr="00782FBD">
        <w:rPr>
          <w:bCs/>
          <w:spacing w:val="-2"/>
          <w:lang w:val="en-US"/>
        </w:rPr>
        <w:t xml:space="preserve">tổ chức triển khai </w:t>
      </w:r>
      <w:r w:rsidRPr="00782FBD">
        <w:rPr>
          <w:bCs/>
          <w:spacing w:val="-2"/>
          <w:lang w:val="en-US"/>
        </w:rPr>
        <w:t>các giải pháp</w:t>
      </w:r>
      <w:r w:rsidR="00535640" w:rsidRPr="00782FBD">
        <w:rPr>
          <w:bCs/>
          <w:spacing w:val="-2"/>
          <w:lang w:val="en-US"/>
        </w:rPr>
        <w:t>, nhiệm vụ</w:t>
      </w:r>
      <w:r w:rsidRPr="00782FBD">
        <w:rPr>
          <w:bCs/>
          <w:spacing w:val="-2"/>
          <w:lang w:val="en-US"/>
        </w:rPr>
        <w:t xml:space="preserve"> nêu tại mục IV về các </w:t>
      </w:r>
      <w:r w:rsidR="00535640" w:rsidRPr="00782FBD">
        <w:rPr>
          <w:bCs/>
          <w:spacing w:val="-2"/>
          <w:lang w:val="en-US"/>
        </w:rPr>
        <w:t>giải pháp, nhiệm vụ trọng tâm 6 tháng cuối năm 2024 của Báo cáo</w:t>
      </w:r>
      <w:r w:rsidR="00782FBD" w:rsidRPr="00782FBD">
        <w:rPr>
          <w:bCs/>
          <w:spacing w:val="-2"/>
          <w:lang w:val="en-US"/>
        </w:rPr>
        <w:t>, trong đó tập trung nguồn lực, ưu tiên thực hiện các nhiệm vụ về cải cách TTHC được Quốc hội giao tại mục 9 Nghị quyết số 142/2024/QH15 ngày 29 tháng 6 năm 2024 của Quốc hội.</w:t>
      </w:r>
    </w:p>
    <w:p w:rsidR="00871E8F" w:rsidRPr="00A007F1" w:rsidRDefault="00871E8F" w:rsidP="00F51789">
      <w:pPr>
        <w:spacing w:before="100" w:after="100"/>
        <w:ind w:firstLine="709"/>
        <w:jc w:val="both"/>
        <w:rPr>
          <w:bCs/>
          <w:spacing w:val="-2"/>
          <w:lang w:val="en-US"/>
        </w:rPr>
      </w:pPr>
      <w:r w:rsidRPr="00A007F1">
        <w:rPr>
          <w:bCs/>
          <w:spacing w:val="-2"/>
          <w:lang w:val="en-US"/>
        </w:rPr>
        <w:t xml:space="preserve">2. </w:t>
      </w:r>
      <w:r w:rsidR="00535640" w:rsidRPr="00A007F1">
        <w:rPr>
          <w:bCs/>
          <w:spacing w:val="-2"/>
          <w:lang w:val="en-US"/>
        </w:rPr>
        <w:t xml:space="preserve">Các Bộ: Nội vụ, Tài chính, Công Thương, Tài nguyên và Môi trường, Giao thông vận tải, Y tế, nghiên cứu xử lý và </w:t>
      </w:r>
      <w:r w:rsidR="002D0691" w:rsidRPr="00A007F1">
        <w:rPr>
          <w:bCs/>
          <w:spacing w:val="-2"/>
          <w:lang w:val="en-US"/>
        </w:rPr>
        <w:t xml:space="preserve">có văn bản </w:t>
      </w:r>
      <w:r w:rsidR="00535640" w:rsidRPr="00A007F1">
        <w:rPr>
          <w:bCs/>
          <w:spacing w:val="-2"/>
          <w:lang w:val="en-US"/>
        </w:rPr>
        <w:t xml:space="preserve">trả lời kiến nghị, đề xuất của các bộ, địa phương tại Phụ lục III </w:t>
      </w:r>
      <w:r w:rsidR="002D0691" w:rsidRPr="00A007F1">
        <w:rPr>
          <w:bCs/>
          <w:spacing w:val="-2"/>
          <w:lang w:val="en-US"/>
        </w:rPr>
        <w:t>kèm theo Báo cáo</w:t>
      </w:r>
      <w:r w:rsidR="00A007F1">
        <w:rPr>
          <w:bCs/>
          <w:spacing w:val="-2"/>
          <w:lang w:val="en-US"/>
        </w:rPr>
        <w:t>, hoàn thành trước ngày 15 tháng 8 năm 2024</w:t>
      </w:r>
      <w:r w:rsidR="00535640" w:rsidRPr="00A007F1">
        <w:rPr>
          <w:bCs/>
          <w:spacing w:val="-2"/>
          <w:lang w:val="en-US"/>
        </w:rPr>
        <w:t>, đồng thời gửi Văn phòng Chính phủ - Cơ quan thường trực để tổng hợp báo cáo Lãnh đạo Chính phủ.</w:t>
      </w:r>
    </w:p>
    <w:p w:rsidR="00871E8F" w:rsidRDefault="00535640" w:rsidP="00535640">
      <w:pPr>
        <w:spacing w:before="100" w:after="100"/>
        <w:ind w:firstLine="709"/>
        <w:jc w:val="both"/>
        <w:rPr>
          <w:bCs/>
          <w:lang w:val="en-US"/>
        </w:rPr>
      </w:pPr>
      <w:r>
        <w:rPr>
          <w:bCs/>
          <w:lang w:val="en-US"/>
        </w:rPr>
        <w:t>3. Các bộ, ngành, địa phương khẩn trương nghiên cứu xử lý và có văn bản trả lời phản ánh, kiến</w:t>
      </w:r>
      <w:r w:rsidR="00F40406">
        <w:rPr>
          <w:bCs/>
          <w:lang w:val="en-US"/>
        </w:rPr>
        <w:t xml:space="preserve"> ngh</w:t>
      </w:r>
      <w:r w:rsidR="004E4224">
        <w:rPr>
          <w:bCs/>
          <w:lang w:val="en-US"/>
        </w:rPr>
        <w:t>ị</w:t>
      </w:r>
      <w:bookmarkStart w:id="7" w:name="_GoBack"/>
      <w:bookmarkEnd w:id="7"/>
      <w:r>
        <w:rPr>
          <w:bCs/>
          <w:lang w:val="en-US"/>
        </w:rPr>
        <w:t xml:space="preserve"> của các thành viên Hội đồng tư vấn tại Phụ lục IV </w:t>
      </w:r>
      <w:r w:rsidR="002D0691">
        <w:rPr>
          <w:bCs/>
          <w:lang w:val="en-US"/>
        </w:rPr>
        <w:t xml:space="preserve">kèm </w:t>
      </w:r>
      <w:r w:rsidR="002D0691" w:rsidRPr="00F40406">
        <w:rPr>
          <w:bCs/>
          <w:spacing w:val="-4"/>
          <w:lang w:val="en-US"/>
        </w:rPr>
        <w:t>theo</w:t>
      </w:r>
      <w:r w:rsidRPr="00F40406">
        <w:rPr>
          <w:bCs/>
          <w:spacing w:val="-4"/>
          <w:lang w:val="en-US"/>
        </w:rPr>
        <w:t xml:space="preserve"> Báo cáo</w:t>
      </w:r>
      <w:r w:rsidR="00A007F1" w:rsidRPr="00F40406">
        <w:rPr>
          <w:bCs/>
          <w:spacing w:val="-4"/>
          <w:lang w:val="en-US"/>
        </w:rPr>
        <w:t>, hoàn thành</w:t>
      </w:r>
      <w:r w:rsidRPr="00F40406">
        <w:rPr>
          <w:bCs/>
          <w:spacing w:val="-4"/>
          <w:lang w:val="en-US"/>
        </w:rPr>
        <w:t xml:space="preserve"> </w:t>
      </w:r>
      <w:r w:rsidR="00A007F1" w:rsidRPr="00F40406">
        <w:rPr>
          <w:bCs/>
          <w:spacing w:val="-4"/>
          <w:lang w:val="en-US"/>
        </w:rPr>
        <w:t>trước ngày</w:t>
      </w:r>
      <w:r w:rsidRPr="00F40406">
        <w:rPr>
          <w:bCs/>
          <w:spacing w:val="-4"/>
          <w:lang w:val="en-US"/>
        </w:rPr>
        <w:t xml:space="preserve"> </w:t>
      </w:r>
      <w:r w:rsidR="00A007F1" w:rsidRPr="00F40406">
        <w:rPr>
          <w:bCs/>
          <w:spacing w:val="-4"/>
          <w:lang w:val="en-US"/>
        </w:rPr>
        <w:t>30 tháng</w:t>
      </w:r>
      <w:r w:rsidRPr="00F40406">
        <w:rPr>
          <w:bCs/>
          <w:spacing w:val="-4"/>
          <w:lang w:val="en-US"/>
        </w:rPr>
        <w:t xml:space="preserve"> 8 năm 2024, đồng thời gửi Văn phòng Chính phủ - Cơ quan thường trực để tổng hợp báo cáo Lãnh đạo Chính phủ.</w:t>
      </w:r>
    </w:p>
    <w:p w:rsidR="00964372" w:rsidRDefault="00DB7F0D" w:rsidP="00782FBD">
      <w:pPr>
        <w:spacing w:before="100" w:after="100"/>
        <w:ind w:firstLine="709"/>
        <w:jc w:val="both"/>
        <w:rPr>
          <w:bCs/>
          <w:spacing w:val="-2"/>
          <w:lang w:val="en-US"/>
        </w:rPr>
      </w:pPr>
      <w:r w:rsidRPr="00782FBD">
        <w:rPr>
          <w:bCs/>
          <w:spacing w:val="-2"/>
          <w:lang w:val="en-US"/>
        </w:rPr>
        <w:t xml:space="preserve">Trên đây là báo cáo kết quả </w:t>
      </w:r>
      <w:r w:rsidR="00782FBD" w:rsidRPr="00782FBD">
        <w:rPr>
          <w:bCs/>
          <w:spacing w:val="-2"/>
          <w:lang w:val="en-US"/>
        </w:rPr>
        <w:t xml:space="preserve">công tác cải cách TTHC, </w:t>
      </w:r>
      <w:r w:rsidRPr="00782FBD">
        <w:rPr>
          <w:bCs/>
          <w:spacing w:val="-2"/>
          <w:lang w:val="en-US"/>
        </w:rPr>
        <w:t>hoạt động</w:t>
      </w:r>
      <w:r w:rsidR="00782FBD" w:rsidRPr="00782FBD">
        <w:rPr>
          <w:bCs/>
          <w:spacing w:val="-2"/>
          <w:lang w:val="en-US"/>
        </w:rPr>
        <w:t xml:space="preserve"> của Tổ công tác và Hội đồng tư vấn</w:t>
      </w:r>
      <w:r w:rsidR="00952926" w:rsidRPr="00782FBD">
        <w:rPr>
          <w:bCs/>
          <w:spacing w:val="-2"/>
          <w:lang w:val="en-US"/>
        </w:rPr>
        <w:t xml:space="preserve"> 6 tháng</w:t>
      </w:r>
      <w:r w:rsidRPr="00782FBD">
        <w:rPr>
          <w:bCs/>
          <w:spacing w:val="-2"/>
          <w:lang w:val="en-US"/>
        </w:rPr>
        <w:t xml:space="preserve"> </w:t>
      </w:r>
      <w:r w:rsidR="00952926" w:rsidRPr="00782FBD">
        <w:rPr>
          <w:bCs/>
          <w:spacing w:val="-2"/>
          <w:lang w:val="en-US"/>
        </w:rPr>
        <w:t xml:space="preserve">đầu năm </w:t>
      </w:r>
      <w:r w:rsidR="00782FBD" w:rsidRPr="00782FBD">
        <w:rPr>
          <w:bCs/>
          <w:spacing w:val="-2"/>
          <w:lang w:val="en-US"/>
        </w:rPr>
        <w:t xml:space="preserve">2024, </w:t>
      </w:r>
      <w:r w:rsidR="00952926" w:rsidRPr="00782FBD">
        <w:rPr>
          <w:bCs/>
          <w:spacing w:val="-2"/>
          <w:lang w:val="en-US"/>
        </w:rPr>
        <w:t xml:space="preserve">phương hướng, nhiệm vụ </w:t>
      </w:r>
      <w:r w:rsidR="00782FBD" w:rsidRPr="00782FBD">
        <w:rPr>
          <w:bCs/>
          <w:spacing w:val="-2"/>
          <w:lang w:val="en-US"/>
        </w:rPr>
        <w:t>trong thời gian tới và một số kiến nghị, đề xuất. Văn phòng Chính phủ kính báo cáo Thủ tướng Chính phủ và Phó Thủ tướng Chính phủ - Tổ trưởng Tổ công tác</w:t>
      </w:r>
      <w:r w:rsidRPr="00782FBD">
        <w:rPr>
          <w:bCs/>
          <w:spacing w:val="-2"/>
          <w:lang w:val="en-US"/>
        </w:rPr>
        <w:t>./.</w:t>
      </w:r>
    </w:p>
    <w:p w:rsidR="00782FBD" w:rsidRPr="00782FBD" w:rsidRDefault="00782FBD" w:rsidP="00782FBD">
      <w:pPr>
        <w:spacing w:before="100" w:after="100"/>
        <w:ind w:firstLine="709"/>
        <w:jc w:val="both"/>
        <w:rPr>
          <w:bCs/>
          <w:spacing w:val="-2"/>
          <w:lang w:val="en-US"/>
        </w:rPr>
      </w:pPr>
    </w:p>
    <w:tbl>
      <w:tblPr>
        <w:tblStyle w:val="a2"/>
        <w:tblW w:w="9072" w:type="dxa"/>
        <w:tblLayout w:type="fixed"/>
        <w:tblLook w:val="0000" w:firstRow="0" w:lastRow="0" w:firstColumn="0" w:lastColumn="0" w:noHBand="0" w:noVBand="0"/>
      </w:tblPr>
      <w:tblGrid>
        <w:gridCol w:w="4865"/>
        <w:gridCol w:w="4207"/>
      </w:tblGrid>
      <w:tr w:rsidR="00964372" w:rsidRPr="00911EF7" w:rsidTr="00E9003B">
        <w:trPr>
          <w:trHeight w:val="1402"/>
        </w:trPr>
        <w:tc>
          <w:tcPr>
            <w:tcW w:w="4865" w:type="dxa"/>
          </w:tcPr>
          <w:p w:rsidR="00964372" w:rsidRPr="00911EF7" w:rsidRDefault="00367E35" w:rsidP="00754132">
            <w:pPr>
              <w:widowControl w:val="0"/>
              <w:ind w:left="-120"/>
              <w:jc w:val="both"/>
              <w:rPr>
                <w:sz w:val="24"/>
                <w:szCs w:val="24"/>
              </w:rPr>
            </w:pPr>
            <w:r w:rsidRPr="00911EF7">
              <w:rPr>
                <w:b/>
                <w:i/>
                <w:sz w:val="24"/>
                <w:szCs w:val="24"/>
              </w:rPr>
              <w:t>Nơi nhận</w:t>
            </w:r>
            <w:r w:rsidRPr="00911EF7">
              <w:rPr>
                <w:sz w:val="24"/>
                <w:szCs w:val="24"/>
              </w:rPr>
              <w:t>:</w:t>
            </w:r>
          </w:p>
          <w:p w:rsidR="00DB7F0D" w:rsidRPr="0018042F" w:rsidRDefault="00DB7F0D" w:rsidP="00754132">
            <w:pPr>
              <w:ind w:left="-120"/>
              <w:rPr>
                <w:sz w:val="22"/>
                <w:szCs w:val="22"/>
              </w:rPr>
            </w:pPr>
            <w:r w:rsidRPr="0018042F">
              <w:rPr>
                <w:sz w:val="22"/>
                <w:szCs w:val="22"/>
              </w:rPr>
              <w:t>- Như trên;</w:t>
            </w:r>
          </w:p>
          <w:p w:rsidR="00DB7F0D" w:rsidRPr="00DB7F0D" w:rsidRDefault="00DB7F0D" w:rsidP="00754132">
            <w:pPr>
              <w:ind w:left="-120"/>
              <w:rPr>
                <w:spacing w:val="-4"/>
                <w:sz w:val="22"/>
                <w:szCs w:val="22"/>
                <w:lang w:val="en-US"/>
              </w:rPr>
            </w:pPr>
            <w:r w:rsidRPr="00DB7F0D">
              <w:rPr>
                <w:spacing w:val="-4"/>
                <w:sz w:val="22"/>
                <w:szCs w:val="22"/>
                <w:lang w:val="en-US"/>
              </w:rPr>
              <w:t>- Các bộ, cơ quan ngang bộ, cơ quan thuộc Chính phủ;</w:t>
            </w:r>
          </w:p>
          <w:p w:rsidR="00DB7F0D" w:rsidRDefault="00DB7F0D" w:rsidP="00754132">
            <w:pPr>
              <w:ind w:left="-120"/>
              <w:rPr>
                <w:sz w:val="22"/>
                <w:szCs w:val="22"/>
                <w:lang w:val="en-US"/>
              </w:rPr>
            </w:pPr>
            <w:r>
              <w:rPr>
                <w:sz w:val="22"/>
                <w:szCs w:val="22"/>
                <w:lang w:val="en-US"/>
              </w:rPr>
              <w:t>- UBND các tỉnh, thành phố trực thuộc Trung ương;</w:t>
            </w:r>
          </w:p>
          <w:p w:rsidR="00DB7F0D" w:rsidRDefault="00DB7F0D" w:rsidP="00754132">
            <w:pPr>
              <w:ind w:left="-120"/>
              <w:rPr>
                <w:sz w:val="22"/>
                <w:szCs w:val="22"/>
                <w:lang w:val="en-US"/>
              </w:rPr>
            </w:pPr>
            <w:r>
              <w:rPr>
                <w:sz w:val="22"/>
                <w:szCs w:val="22"/>
                <w:lang w:val="en-US"/>
              </w:rPr>
              <w:t>- Các Thành viên Tổ công tác cải cách TTHC;</w:t>
            </w:r>
          </w:p>
          <w:p w:rsidR="00DB7F0D" w:rsidRPr="0018042F" w:rsidRDefault="00DB7F0D" w:rsidP="00754132">
            <w:pPr>
              <w:ind w:left="-120"/>
              <w:rPr>
                <w:sz w:val="22"/>
                <w:szCs w:val="22"/>
                <w:lang w:val="en-US"/>
              </w:rPr>
            </w:pPr>
            <w:r>
              <w:rPr>
                <w:sz w:val="22"/>
                <w:szCs w:val="22"/>
                <w:lang w:val="en-US"/>
              </w:rPr>
              <w:t>- Các Thành viên Hội đồng tư vấn cải cách TTHC;</w:t>
            </w:r>
          </w:p>
          <w:p w:rsidR="00DB7F0D" w:rsidRPr="0018042F" w:rsidRDefault="00DB7F0D" w:rsidP="00754132">
            <w:pPr>
              <w:ind w:left="-120"/>
              <w:rPr>
                <w:sz w:val="22"/>
                <w:szCs w:val="22"/>
              </w:rPr>
            </w:pPr>
            <w:r w:rsidRPr="0018042F">
              <w:rPr>
                <w:sz w:val="22"/>
                <w:szCs w:val="22"/>
              </w:rPr>
              <w:t>- VPCP: BTCN, các PCN;</w:t>
            </w:r>
          </w:p>
          <w:p w:rsidR="00DB7F0D" w:rsidRPr="00DB7F0D" w:rsidRDefault="00DB7F0D" w:rsidP="00754132">
            <w:pPr>
              <w:ind w:left="-120"/>
              <w:rPr>
                <w:i/>
                <w:spacing w:val="-8"/>
                <w:sz w:val="22"/>
                <w:szCs w:val="22"/>
              </w:rPr>
            </w:pPr>
            <w:r w:rsidRPr="00DB7F0D">
              <w:rPr>
                <w:spacing w:val="-8"/>
                <w:sz w:val="22"/>
                <w:szCs w:val="22"/>
              </w:rPr>
              <w:t>Trợ lý, Thư ký của TTg</w:t>
            </w:r>
            <w:r w:rsidRPr="00DB7F0D">
              <w:rPr>
                <w:spacing w:val="-8"/>
                <w:sz w:val="22"/>
                <w:szCs w:val="22"/>
                <w:lang w:val="en-US"/>
              </w:rPr>
              <w:t>CP</w:t>
            </w:r>
            <w:r w:rsidRPr="00DB7F0D">
              <w:rPr>
                <w:spacing w:val="-8"/>
                <w:sz w:val="22"/>
                <w:szCs w:val="22"/>
              </w:rPr>
              <w:t>, PTTgCP Trần Lưu Quang;</w:t>
            </w:r>
          </w:p>
          <w:p w:rsidR="00DB7F0D" w:rsidRPr="00DB7F0D" w:rsidRDefault="00DB7F0D" w:rsidP="00754132">
            <w:pPr>
              <w:ind w:left="-120" w:hanging="108"/>
              <w:rPr>
                <w:spacing w:val="-8"/>
                <w:sz w:val="22"/>
                <w:szCs w:val="22"/>
              </w:rPr>
            </w:pPr>
            <w:r w:rsidRPr="005809E0">
              <w:rPr>
                <w:spacing w:val="-4"/>
                <w:sz w:val="22"/>
                <w:szCs w:val="22"/>
              </w:rPr>
              <w:t xml:space="preserve">  </w:t>
            </w:r>
            <w:r w:rsidRPr="00DB7F0D">
              <w:rPr>
                <w:spacing w:val="-8"/>
                <w:sz w:val="22"/>
                <w:szCs w:val="22"/>
              </w:rPr>
              <w:t>các Vụ, Cục</w:t>
            </w:r>
            <w:r w:rsidR="001127F9">
              <w:rPr>
                <w:spacing w:val="-8"/>
                <w:sz w:val="22"/>
                <w:szCs w:val="22"/>
              </w:rPr>
              <w:t>,</w:t>
            </w:r>
            <w:r w:rsidRPr="00DB7F0D">
              <w:rPr>
                <w:spacing w:val="-8"/>
                <w:sz w:val="22"/>
                <w:szCs w:val="22"/>
              </w:rPr>
              <w:t xml:space="preserve"> Cổng TTĐT;</w:t>
            </w:r>
          </w:p>
          <w:p w:rsidR="00964372" w:rsidRPr="00911EF7" w:rsidRDefault="00DB7F0D" w:rsidP="00754132">
            <w:pPr>
              <w:widowControl w:val="0"/>
              <w:ind w:left="-120"/>
              <w:jc w:val="both"/>
              <w:rPr>
                <w:sz w:val="30"/>
                <w:szCs w:val="30"/>
              </w:rPr>
            </w:pPr>
            <w:r w:rsidRPr="0018042F">
              <w:rPr>
                <w:sz w:val="22"/>
                <w:szCs w:val="22"/>
              </w:rPr>
              <w:t xml:space="preserve">- Lưu: VT, </w:t>
            </w:r>
            <w:r>
              <w:rPr>
                <w:sz w:val="22"/>
                <w:szCs w:val="22"/>
                <w:lang w:val="en-US"/>
              </w:rPr>
              <w:t>KSTT</w:t>
            </w:r>
            <w:r w:rsidRPr="0018042F">
              <w:rPr>
                <w:sz w:val="22"/>
                <w:szCs w:val="22"/>
              </w:rPr>
              <w:t xml:space="preserve"> (2</w:t>
            </w:r>
            <w:r>
              <w:rPr>
                <w:sz w:val="22"/>
                <w:szCs w:val="22"/>
                <w:lang w:val="en-US"/>
              </w:rPr>
              <w:t>b</w:t>
            </w:r>
            <w:r w:rsidRPr="0018042F">
              <w:rPr>
                <w:sz w:val="22"/>
                <w:szCs w:val="22"/>
              </w:rPr>
              <w:t>)</w:t>
            </w:r>
            <w:r>
              <w:rPr>
                <w:sz w:val="22"/>
                <w:szCs w:val="22"/>
                <w:lang w:val="en-US"/>
              </w:rPr>
              <w:t>.</w:t>
            </w:r>
          </w:p>
        </w:tc>
        <w:tc>
          <w:tcPr>
            <w:tcW w:w="4207" w:type="dxa"/>
          </w:tcPr>
          <w:p w:rsidR="00964372" w:rsidRPr="00911EF7" w:rsidRDefault="00367E35">
            <w:pPr>
              <w:widowControl w:val="0"/>
              <w:jc w:val="center"/>
              <w:rPr>
                <w:b/>
                <w:sz w:val="26"/>
                <w:szCs w:val="26"/>
              </w:rPr>
            </w:pPr>
            <w:r w:rsidRPr="00911EF7">
              <w:rPr>
                <w:b/>
                <w:sz w:val="26"/>
                <w:szCs w:val="26"/>
              </w:rPr>
              <w:t>BỘ TRƯỞNG, CHỦ NHIỆM</w:t>
            </w:r>
          </w:p>
          <w:p w:rsidR="00964372" w:rsidRPr="00911EF7" w:rsidRDefault="00964372">
            <w:pPr>
              <w:widowControl w:val="0"/>
              <w:jc w:val="center"/>
              <w:rPr>
                <w:b/>
                <w:sz w:val="26"/>
                <w:szCs w:val="26"/>
              </w:rPr>
            </w:pPr>
          </w:p>
          <w:p w:rsidR="00964372" w:rsidRPr="00911EF7" w:rsidRDefault="00367E35">
            <w:pPr>
              <w:widowControl w:val="0"/>
              <w:jc w:val="center"/>
              <w:rPr>
                <w:b/>
                <w:color w:val="FFFFFF" w:themeColor="background1"/>
                <w:sz w:val="26"/>
                <w:szCs w:val="26"/>
              </w:rPr>
            </w:pPr>
            <w:r w:rsidRPr="00911EF7">
              <w:rPr>
                <w:b/>
                <w:color w:val="FFFFFF" w:themeColor="background1"/>
                <w:sz w:val="26"/>
                <w:szCs w:val="26"/>
              </w:rPr>
              <w:t xml:space="preserve"> [daky]</w:t>
            </w:r>
          </w:p>
          <w:p w:rsidR="00964372" w:rsidRPr="00911EF7" w:rsidRDefault="00964372">
            <w:pPr>
              <w:widowControl w:val="0"/>
              <w:jc w:val="center"/>
              <w:rPr>
                <w:b/>
              </w:rPr>
            </w:pPr>
          </w:p>
          <w:p w:rsidR="00964372" w:rsidRPr="00911EF7" w:rsidRDefault="00964372">
            <w:pPr>
              <w:widowControl w:val="0"/>
              <w:jc w:val="center"/>
              <w:rPr>
                <w:b/>
              </w:rPr>
            </w:pPr>
          </w:p>
          <w:p w:rsidR="00964372" w:rsidRPr="00911EF7" w:rsidRDefault="00964372">
            <w:pPr>
              <w:widowControl w:val="0"/>
              <w:jc w:val="center"/>
              <w:rPr>
                <w:b/>
              </w:rPr>
            </w:pPr>
          </w:p>
          <w:p w:rsidR="00DC6C3B" w:rsidRPr="00911EF7" w:rsidRDefault="00DC6C3B">
            <w:pPr>
              <w:widowControl w:val="0"/>
              <w:jc w:val="center"/>
              <w:rPr>
                <w:b/>
                <w:sz w:val="28"/>
                <w:szCs w:val="28"/>
              </w:rPr>
            </w:pPr>
          </w:p>
          <w:p w:rsidR="00964372" w:rsidRPr="00911EF7" w:rsidRDefault="00367E35">
            <w:pPr>
              <w:widowControl w:val="0"/>
              <w:jc w:val="center"/>
              <w:rPr>
                <w:b/>
                <w:sz w:val="28"/>
                <w:szCs w:val="28"/>
              </w:rPr>
            </w:pPr>
            <w:r w:rsidRPr="00911EF7">
              <w:rPr>
                <w:b/>
                <w:sz w:val="28"/>
                <w:szCs w:val="28"/>
              </w:rPr>
              <w:t>Trần Văn Sơn</w:t>
            </w:r>
          </w:p>
        </w:tc>
      </w:tr>
      <w:bookmarkEnd w:id="0"/>
    </w:tbl>
    <w:p w:rsidR="00964372" w:rsidRPr="00911EF7" w:rsidRDefault="00964372" w:rsidP="00BD0BC4">
      <w:pPr>
        <w:spacing w:line="276" w:lineRule="auto"/>
      </w:pPr>
    </w:p>
    <w:sectPr w:rsidR="00964372" w:rsidRPr="00911EF7" w:rsidSect="00075578">
      <w:headerReference w:type="default" r:id="rId10"/>
      <w:footerReference w:type="default" r:id="rId11"/>
      <w:headerReference w:type="first" r:id="rId12"/>
      <w:pgSz w:w="11907" w:h="16840" w:code="9"/>
      <w:pgMar w:top="1134" w:right="1134" w:bottom="1134" w:left="1701" w:header="624" w:footer="62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5DF" w:rsidRDefault="00AC25DF">
      <w:r>
        <w:separator/>
      </w:r>
    </w:p>
  </w:endnote>
  <w:endnote w:type="continuationSeparator" w:id="0">
    <w:p w:rsidR="00AC25DF" w:rsidRDefault="00AC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enQuanYi Micro Hei">
    <w:charset w:val="00"/>
    <w:family w:val="auto"/>
    <w:pitch w:val="variable"/>
  </w:font>
  <w:font w:name="Lohit Hindi">
    <w:charset w:val="80"/>
    <w:family w:val="auto"/>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7D6" w:rsidRDefault="002067D6">
    <w:pPr>
      <w:pBdr>
        <w:top w:val="nil"/>
        <w:left w:val="nil"/>
        <w:bottom w:val="nil"/>
        <w:right w:val="nil"/>
        <w:between w:val="nil"/>
      </w:pBdr>
      <w:tabs>
        <w:tab w:val="center" w:pos="4680"/>
        <w:tab w:val="right" w:pos="9360"/>
      </w:tabs>
      <w:jc w:val="right"/>
      <w:rPr>
        <w:color w:val="000000"/>
      </w:rPr>
    </w:pPr>
  </w:p>
  <w:p w:rsidR="002067D6" w:rsidRDefault="002067D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5DF" w:rsidRDefault="00AC25DF">
      <w:r>
        <w:separator/>
      </w:r>
    </w:p>
  </w:footnote>
  <w:footnote w:type="continuationSeparator" w:id="0">
    <w:p w:rsidR="00AC25DF" w:rsidRDefault="00AC25DF">
      <w:r>
        <w:continuationSeparator/>
      </w:r>
    </w:p>
  </w:footnote>
  <w:footnote w:id="1">
    <w:p w:rsidR="00F51789" w:rsidRPr="00744B04" w:rsidRDefault="00F51789" w:rsidP="00744B04">
      <w:pPr>
        <w:pStyle w:val="FootnoteText"/>
        <w:jc w:val="both"/>
        <w:rPr>
          <w:sz w:val="20"/>
          <w:szCs w:val="20"/>
          <w:lang w:val="vi-VN"/>
        </w:rPr>
      </w:pPr>
      <w:r w:rsidRPr="00744B04">
        <w:rPr>
          <w:rStyle w:val="FootnoteReference"/>
          <w:sz w:val="20"/>
          <w:szCs w:val="20"/>
        </w:rPr>
        <w:footnoteRef/>
      </w:r>
      <w:r w:rsidRPr="00744B04">
        <w:rPr>
          <w:sz w:val="20"/>
          <w:szCs w:val="20"/>
        </w:rPr>
        <w:t xml:space="preserve"> </w:t>
      </w:r>
      <w:r w:rsidRPr="00744B04">
        <w:rPr>
          <w:spacing w:val="-2"/>
          <w:sz w:val="20"/>
          <w:szCs w:val="20"/>
          <w:shd w:val="clear" w:color="auto" w:fill="FFFFFF"/>
        </w:rPr>
        <w:t>Nghị quyết số 68/NQ-CP ngày 12</w:t>
      </w:r>
      <w:r w:rsidRPr="00744B04">
        <w:rPr>
          <w:spacing w:val="-2"/>
          <w:sz w:val="20"/>
          <w:szCs w:val="20"/>
          <w:shd w:val="clear" w:color="auto" w:fill="FFFFFF"/>
          <w:lang w:val="vi-VN"/>
        </w:rPr>
        <w:t>/</w:t>
      </w:r>
      <w:r w:rsidRPr="00744B04">
        <w:rPr>
          <w:spacing w:val="-2"/>
          <w:sz w:val="20"/>
          <w:szCs w:val="20"/>
          <w:shd w:val="clear" w:color="auto" w:fill="FFFFFF"/>
        </w:rPr>
        <w:t>5</w:t>
      </w:r>
      <w:r w:rsidRPr="00744B04">
        <w:rPr>
          <w:spacing w:val="-2"/>
          <w:sz w:val="20"/>
          <w:szCs w:val="20"/>
          <w:shd w:val="clear" w:color="auto" w:fill="FFFFFF"/>
          <w:lang w:val="vi-VN"/>
        </w:rPr>
        <w:t>/</w:t>
      </w:r>
      <w:r w:rsidRPr="00744B04">
        <w:rPr>
          <w:spacing w:val="-2"/>
          <w:sz w:val="20"/>
          <w:szCs w:val="20"/>
          <w:shd w:val="clear" w:color="auto" w:fill="FFFFFF"/>
        </w:rPr>
        <w:t>2020</w:t>
      </w:r>
      <w:r w:rsidRPr="00744B04">
        <w:rPr>
          <w:spacing w:val="-2"/>
          <w:sz w:val="20"/>
          <w:szCs w:val="20"/>
          <w:shd w:val="clear" w:color="auto" w:fill="FFFFFF"/>
          <w:lang w:val="vi-VN"/>
        </w:rPr>
        <w:t xml:space="preserve"> của Chính phủ</w:t>
      </w:r>
    </w:p>
  </w:footnote>
  <w:footnote w:id="2">
    <w:p w:rsidR="00F51789" w:rsidRPr="00744B04" w:rsidRDefault="00F51789"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w:t>
      </w:r>
      <w:r w:rsidRPr="00744B04">
        <w:rPr>
          <w:spacing w:val="-2"/>
          <w:sz w:val="20"/>
          <w:szCs w:val="20"/>
          <w:lang w:val="en-US"/>
        </w:rPr>
        <w:t>Gồm: 151 TTHC, 10 yêu cầu điều kiện, 07 chế độ báo cáo</w:t>
      </w:r>
    </w:p>
  </w:footnote>
  <w:footnote w:id="3">
    <w:p w:rsidR="00F51789" w:rsidRPr="00744B04" w:rsidRDefault="00F51789"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w:t>
      </w:r>
      <w:r w:rsidRPr="00744B04">
        <w:rPr>
          <w:sz w:val="20"/>
          <w:szCs w:val="20"/>
          <w:lang w:val="en-US"/>
        </w:rPr>
        <w:t>Gồm: 01 Luật, 05 Nghị định, 09 Thông tư và 01 văn bản khác.</w:t>
      </w:r>
    </w:p>
  </w:footnote>
  <w:footnote w:id="4">
    <w:p w:rsidR="00F51789" w:rsidRPr="00744B04" w:rsidRDefault="00F51789" w:rsidP="00744B04">
      <w:pPr>
        <w:pStyle w:val="FootnoteText"/>
        <w:jc w:val="both"/>
        <w:rPr>
          <w:spacing w:val="-4"/>
          <w:sz w:val="20"/>
          <w:szCs w:val="20"/>
          <w:lang w:val="en-US"/>
        </w:rPr>
      </w:pPr>
      <w:r w:rsidRPr="00744B04">
        <w:rPr>
          <w:rStyle w:val="FootnoteReference"/>
          <w:sz w:val="20"/>
          <w:szCs w:val="20"/>
        </w:rPr>
        <w:footnoteRef/>
      </w:r>
      <w:r w:rsidRPr="00744B04">
        <w:rPr>
          <w:sz w:val="20"/>
          <w:szCs w:val="20"/>
        </w:rPr>
        <w:t xml:space="preserve"> Gồm các </w:t>
      </w:r>
      <w:r w:rsidRPr="00744B04">
        <w:rPr>
          <w:sz w:val="20"/>
          <w:szCs w:val="20"/>
          <w:lang w:val="en-US"/>
        </w:rPr>
        <w:t xml:space="preserve">Quyết định: số 87/QĐ-TTg ngày 19/01/2024, số 144/QĐ-TTg ngày 02/02/2024, số 209/QĐ-TTg ngày 29/02/2024, </w:t>
      </w:r>
      <w:r w:rsidRPr="00744B04">
        <w:rPr>
          <w:spacing w:val="-4"/>
          <w:sz w:val="20"/>
          <w:szCs w:val="20"/>
          <w:lang w:val="en-US"/>
        </w:rPr>
        <w:t>số 381/QĐ-TTg ngày 07/5/2024 và số 412/QĐ-TTg ngày 14/5/2024 của Thủ tướng Chính phủ.</w:t>
      </w:r>
    </w:p>
  </w:footnote>
  <w:footnote w:id="5">
    <w:p w:rsidR="00F51789" w:rsidRPr="00744B04" w:rsidRDefault="00F51789"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Gồm: 1.536 TTHC, 180 yêu cầu điều kiện, 94 chế độ báo cáo, 164 quy chuẩn, tiêu chuẩn và 969 mặt hàng kiểm</w:t>
      </w:r>
      <w:r w:rsidR="00744B04">
        <w:rPr>
          <w:sz w:val="20"/>
          <w:szCs w:val="20"/>
        </w:rPr>
        <w:t xml:space="preserve"> </w:t>
      </w:r>
      <w:r w:rsidRPr="00744B04">
        <w:rPr>
          <w:sz w:val="20"/>
          <w:szCs w:val="20"/>
        </w:rPr>
        <w:t>tra chuyên ngành.</w:t>
      </w:r>
    </w:p>
  </w:footnote>
  <w:footnote w:id="6">
    <w:p w:rsidR="00F51789" w:rsidRPr="00744B04" w:rsidRDefault="00F51789" w:rsidP="00744B04">
      <w:pPr>
        <w:pStyle w:val="FootnoteText"/>
        <w:jc w:val="both"/>
        <w:rPr>
          <w:spacing w:val="-8"/>
          <w:sz w:val="20"/>
          <w:szCs w:val="20"/>
          <w:lang w:val="en-US"/>
        </w:rPr>
      </w:pPr>
      <w:r w:rsidRPr="00744B04">
        <w:rPr>
          <w:rStyle w:val="FootnoteReference"/>
          <w:spacing w:val="-8"/>
          <w:sz w:val="20"/>
          <w:szCs w:val="20"/>
        </w:rPr>
        <w:footnoteRef/>
      </w:r>
      <w:r w:rsidRPr="00744B04">
        <w:rPr>
          <w:spacing w:val="-8"/>
          <w:sz w:val="20"/>
          <w:szCs w:val="20"/>
        </w:rPr>
        <w:t xml:space="preserve"> Gồm: 16 luật, 70 nghị định, 04 quyết định của Thủ tướng Chính phủ, 158 thông tư, thông tư liên tịch và 02 văn bản khác</w:t>
      </w:r>
    </w:p>
  </w:footnote>
  <w:footnote w:id="7">
    <w:p w:rsidR="00F51789" w:rsidRPr="00744B04" w:rsidRDefault="00F51789"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Gồm: 08 Nghị định và 13 Thông tư</w:t>
      </w:r>
    </w:p>
  </w:footnote>
  <w:footnote w:id="8">
    <w:p w:rsidR="00F51789" w:rsidRPr="00744B04" w:rsidRDefault="00F51789" w:rsidP="00744B04">
      <w:pPr>
        <w:pStyle w:val="FootnoteText"/>
        <w:jc w:val="both"/>
        <w:rPr>
          <w:sz w:val="20"/>
          <w:szCs w:val="20"/>
        </w:rPr>
      </w:pPr>
      <w:r w:rsidRPr="00744B04">
        <w:rPr>
          <w:rStyle w:val="FootnoteReference"/>
          <w:sz w:val="20"/>
          <w:szCs w:val="20"/>
        </w:rPr>
        <w:footnoteRef/>
      </w:r>
      <w:r w:rsidRPr="00744B04">
        <w:rPr>
          <w:sz w:val="20"/>
          <w:szCs w:val="20"/>
        </w:rPr>
        <w:t xml:space="preserve"> Quyết định </w:t>
      </w:r>
      <w:r w:rsidRPr="00744B04">
        <w:rPr>
          <w:sz w:val="20"/>
          <w:szCs w:val="20"/>
          <w:lang w:val="vi-VN"/>
        </w:rPr>
        <w:t xml:space="preserve">số 1085/QĐ-TTg </w:t>
      </w:r>
      <w:r w:rsidRPr="00744B04">
        <w:rPr>
          <w:sz w:val="20"/>
          <w:szCs w:val="20"/>
          <w:shd w:val="clear" w:color="auto" w:fill="FFFFFF"/>
        </w:rPr>
        <w:t xml:space="preserve">ngày </w:t>
      </w:r>
      <w:r w:rsidRPr="00744B04">
        <w:rPr>
          <w:sz w:val="20"/>
          <w:szCs w:val="20"/>
        </w:rPr>
        <w:t>15</w:t>
      </w:r>
      <w:r w:rsidRPr="00744B04">
        <w:rPr>
          <w:sz w:val="20"/>
          <w:szCs w:val="20"/>
          <w:lang w:val="vi-VN"/>
        </w:rPr>
        <w:t>/</w:t>
      </w:r>
      <w:r w:rsidRPr="00744B04">
        <w:rPr>
          <w:sz w:val="20"/>
          <w:szCs w:val="20"/>
        </w:rPr>
        <w:t>9</w:t>
      </w:r>
      <w:r w:rsidRPr="00744B04">
        <w:rPr>
          <w:sz w:val="20"/>
          <w:szCs w:val="20"/>
          <w:lang w:val="vi-VN"/>
        </w:rPr>
        <w:t>/</w:t>
      </w:r>
      <w:r w:rsidRPr="00744B04">
        <w:rPr>
          <w:sz w:val="20"/>
          <w:szCs w:val="20"/>
        </w:rPr>
        <w:t>2022.</w:t>
      </w:r>
    </w:p>
  </w:footnote>
  <w:footnote w:id="9">
    <w:p w:rsidR="00F51789" w:rsidRPr="00744B04" w:rsidRDefault="00F51789"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09 Nghị định và 16 Thông tư</w:t>
      </w:r>
    </w:p>
  </w:footnote>
  <w:footnote w:id="10">
    <w:p w:rsidR="00F51789" w:rsidRPr="00744B04" w:rsidRDefault="00F51789"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w:t>
      </w:r>
      <w:r w:rsidRPr="00744B04">
        <w:rPr>
          <w:sz w:val="20"/>
          <w:szCs w:val="20"/>
          <w:lang w:val="en-US"/>
        </w:rPr>
        <w:t>07 bộ, ngành gồm: Công an, Giao thông vận tải, Khoa học và Công nghệ, Lao động - Thương binh và Xã hội, Nông nghiệp và Phát triển nông thôn, Xây dựng, Bảo hiểm xã hội Việt Nam.</w:t>
      </w:r>
    </w:p>
  </w:footnote>
  <w:footnote w:id="11">
    <w:p w:rsidR="00F51789" w:rsidRPr="00744B04" w:rsidRDefault="00F51789"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w:t>
      </w:r>
      <w:r w:rsidRPr="00744B04">
        <w:rPr>
          <w:sz w:val="20"/>
          <w:szCs w:val="20"/>
          <w:lang w:val="en-US"/>
        </w:rPr>
        <w:t>Đến nay, đã triển khai số hóa hồ sơ, kết quả giải quyết TTHC ở 9.200/11.956 BPMC, chiếm 76,9%.</w:t>
      </w:r>
    </w:p>
  </w:footnote>
  <w:footnote w:id="12">
    <w:p w:rsidR="00DC7971" w:rsidRPr="00744B04" w:rsidRDefault="00DC7971"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Tính đến hết ngày 21/6/2024, Sở Tư pháp Hà Nội đã tiếp nhận 16.047 yêu cầu cấp Phiếu LLTP trên ứng dụng VNeID trong tổng số 28.245 hồ sơ yêu cầu cấp Phiếu LLTP (chiếm tỷ lệ 56.8%); trả kết quả 7.124 Phiếu LLTP qua ứng dụng VNeID. Sở Tư pháp Thừa Thiên Huế, đã tiếp nhận 2.403 hồ sơ yêu cầu cấp Phiếu LLTP trên ứng dụng VNeID trong tổng số 3.441 hồ sơ yêu cầu cấp Phiếu LLTP (chiếm tỷ lệ 69.8%); trả 2.056 Phiếu LLTP qua ứng dụng VNeID.</w:t>
      </w:r>
    </w:p>
  </w:footnote>
  <w:footnote w:id="13">
    <w:p w:rsidR="00F51789" w:rsidRPr="00744B04" w:rsidRDefault="00F51789"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w:t>
      </w:r>
      <w:r w:rsidRPr="00744B04">
        <w:rPr>
          <w:rFonts w:eastAsia="Arial"/>
          <w:sz w:val="20"/>
          <w:szCs w:val="20"/>
          <w:lang w:val="en-US"/>
        </w:rPr>
        <w:t>Quyết định số 766/QĐ-TTg ngày 23/6/2022 của Thủ tướng Chính phủ.</w:t>
      </w:r>
    </w:p>
  </w:footnote>
  <w:footnote w:id="14">
    <w:p w:rsidR="002067D6" w:rsidRPr="00744B04" w:rsidRDefault="002067D6" w:rsidP="00744B04">
      <w:pPr>
        <w:shd w:val="clear" w:color="auto" w:fill="FFFFFF"/>
        <w:jc w:val="both"/>
        <w:rPr>
          <w:sz w:val="20"/>
          <w:szCs w:val="20"/>
          <w:shd w:val="clear" w:color="auto" w:fill="FFFFFF"/>
        </w:rPr>
      </w:pPr>
      <w:r w:rsidRPr="00744B04">
        <w:rPr>
          <w:rStyle w:val="FootnoteReference"/>
          <w:sz w:val="20"/>
          <w:szCs w:val="20"/>
        </w:rPr>
        <w:footnoteRef/>
      </w:r>
      <w:r w:rsidRPr="00744B04">
        <w:rPr>
          <w:sz w:val="20"/>
          <w:szCs w:val="20"/>
        </w:rPr>
        <w:t xml:space="preserve"> </w:t>
      </w:r>
      <w:r w:rsidRPr="00744B04">
        <w:rPr>
          <w:sz w:val="20"/>
          <w:szCs w:val="20"/>
          <w:lang w:val="en-US"/>
        </w:rPr>
        <w:t>Quyết định số 16/QĐ-TCTCCTTHC ngày 07/02/2024</w:t>
      </w:r>
    </w:p>
  </w:footnote>
  <w:footnote w:id="15">
    <w:p w:rsidR="002067D6" w:rsidRPr="00744B04" w:rsidRDefault="002067D6" w:rsidP="00744B04">
      <w:pPr>
        <w:pStyle w:val="FootnoteText"/>
        <w:jc w:val="both"/>
        <w:rPr>
          <w:sz w:val="20"/>
          <w:szCs w:val="20"/>
        </w:rPr>
      </w:pPr>
      <w:r w:rsidRPr="00744B04">
        <w:rPr>
          <w:rStyle w:val="FootnoteReference"/>
          <w:sz w:val="20"/>
          <w:szCs w:val="20"/>
        </w:rPr>
        <w:footnoteRef/>
      </w:r>
      <w:r w:rsidRPr="00744B04">
        <w:rPr>
          <w:sz w:val="20"/>
          <w:szCs w:val="20"/>
        </w:rPr>
        <w:t xml:space="preserve"> Phiên họp thứ nhất ngày 23/02/2024</w:t>
      </w:r>
      <w:r w:rsidRPr="00744B04">
        <w:rPr>
          <w:sz w:val="20"/>
          <w:szCs w:val="20"/>
          <w:lang w:val="en-US"/>
        </w:rPr>
        <w:t xml:space="preserve"> và </w:t>
      </w:r>
      <w:r w:rsidRPr="00744B04">
        <w:rPr>
          <w:sz w:val="20"/>
          <w:szCs w:val="20"/>
        </w:rPr>
        <w:t>Phiên họp thứ hai ngày 03/5/2024.</w:t>
      </w:r>
    </w:p>
  </w:footnote>
  <w:footnote w:id="16">
    <w:p w:rsidR="002067D6" w:rsidRPr="00744B04" w:rsidRDefault="002067D6"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w:t>
      </w:r>
      <w:r w:rsidRPr="00744B04">
        <w:rPr>
          <w:sz w:val="20"/>
          <w:szCs w:val="20"/>
          <w:lang w:val="en-US"/>
        </w:rPr>
        <w:t xml:space="preserve">Buổi làm việc của Phó Thủ tướng Trần Lưu Quang với 03 bộ và 08 địa phương; Bộ trưởng, Chủ nhiệm VPCP đã làm việc với 3 địa phương (Ninh Bình, Nam Định, Thái Bình); Bộ Nông nghiệp và Phát triển nông thôn đã làm việc với 04 địa phương (Đồng Tháp, Cà Mau, An Giang, Long An) trong đó có công tác cải cách TTHC… </w:t>
      </w:r>
    </w:p>
  </w:footnote>
  <w:footnote w:id="17">
    <w:p w:rsidR="002067D6" w:rsidRPr="00744B04" w:rsidRDefault="002067D6" w:rsidP="00744B04">
      <w:pPr>
        <w:pStyle w:val="FootnoteText"/>
        <w:jc w:val="both"/>
        <w:rPr>
          <w:sz w:val="20"/>
          <w:szCs w:val="20"/>
        </w:rPr>
      </w:pPr>
      <w:r w:rsidRPr="00744B04">
        <w:rPr>
          <w:rStyle w:val="FootnoteReference"/>
          <w:sz w:val="20"/>
          <w:szCs w:val="20"/>
        </w:rPr>
        <w:footnoteRef/>
      </w:r>
      <w:r w:rsidRPr="00744B04">
        <w:rPr>
          <w:sz w:val="20"/>
          <w:szCs w:val="20"/>
        </w:rPr>
        <w:t xml:space="preserve"> Gồm: vận tải và hậu cần; nhân lực và đào tạo; du lịch, nhà hàng, khách sạn; y tế, thuốc và trang thiết bị y tế; trách nhiệm mở rộng của nhà sản xuất; phát triển xanh; ngành công nghiệp ô tô và xe máy; thực phẩm, nông nghiệp và nuôi trồng thủy sản; kỹ thuật số; xây dựng; thuế; rượu vang và rượu mạnh.</w:t>
      </w:r>
    </w:p>
  </w:footnote>
  <w:footnote w:id="18">
    <w:p w:rsidR="002067D6" w:rsidRPr="00744B04" w:rsidRDefault="002067D6" w:rsidP="00744B04">
      <w:pPr>
        <w:pStyle w:val="FootnoteText"/>
        <w:jc w:val="both"/>
        <w:rPr>
          <w:sz w:val="20"/>
          <w:szCs w:val="20"/>
        </w:rPr>
      </w:pPr>
      <w:r w:rsidRPr="00744B04">
        <w:rPr>
          <w:rStyle w:val="FootnoteReference"/>
          <w:sz w:val="20"/>
          <w:szCs w:val="20"/>
        </w:rPr>
        <w:footnoteRef/>
      </w:r>
      <w:r w:rsidRPr="00744B04">
        <w:rPr>
          <w:sz w:val="20"/>
          <w:szCs w:val="20"/>
        </w:rPr>
        <w:t xml:space="preserve"> Gồm: công nghệ nông nghiệp; quyền sở hữu trí tuệ; mỹ phẩm; các vấn đề về pháp luật trong lĩnh vực bất động sản, M&amp;A; phụ nữ trong kinh doanh; thực phẩm dinh dưỡng.</w:t>
      </w:r>
    </w:p>
  </w:footnote>
  <w:footnote w:id="19">
    <w:p w:rsidR="002067D6" w:rsidRPr="00744B04" w:rsidRDefault="002067D6"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w:t>
      </w:r>
      <w:r w:rsidRPr="00744B04">
        <w:rPr>
          <w:sz w:val="20"/>
          <w:szCs w:val="20"/>
          <w:lang w:val="en-US"/>
        </w:rPr>
        <w:t>Số liệu tính đến ngày 11/6/2024</w:t>
      </w:r>
    </w:p>
  </w:footnote>
  <w:footnote w:id="20">
    <w:p w:rsidR="002067D6" w:rsidRPr="00744B04" w:rsidRDefault="002067D6"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Quyết định số 3859/QĐ-BTNMT ngày 14/12/2023</w:t>
      </w:r>
    </w:p>
  </w:footnote>
  <w:footnote w:id="21">
    <w:p w:rsidR="002067D6" w:rsidRPr="00744B04" w:rsidRDefault="002067D6"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w:t>
      </w:r>
      <w:r w:rsidRPr="00744B04">
        <w:rPr>
          <w:sz w:val="20"/>
          <w:szCs w:val="20"/>
          <w:lang w:val="en-US"/>
        </w:rPr>
        <w:t>Gồm: Đăng ký biến động quyền sử dụng đất, quyền sở hữu tài sản gắn liền với đất trong các trường hợp chuyển nhượng, cho thuê lại, thừa kế, tặng cho quyền sử dụng đất, quyền sở hữu tài sản gắn liền với đất; Đăng ký biến động đất đai, tài sản gắn liền với đất do thay đổi về nghĩa vụ tài chính.</w:t>
      </w:r>
    </w:p>
  </w:footnote>
  <w:footnote w:id="22">
    <w:p w:rsidR="002067D6" w:rsidRPr="00744B04" w:rsidRDefault="002067D6"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w:t>
      </w:r>
      <w:r w:rsidRPr="00744B04">
        <w:rPr>
          <w:sz w:val="20"/>
          <w:szCs w:val="20"/>
          <w:lang w:val="en-US"/>
        </w:rPr>
        <w:t>Ví dụ: Trong trường hợp nhà khoa học đã tham gia 01 Chương trình tại Quỹ Nafosted của Bộ KH&amp;CN và đã khai sơ yếu lý lịch trên Hệ thống thì sẽ không phải khai lại khi tham gia các Chương trình khác. Hiện nay, 16/21 TTHC của Quỹ Nafosted đã sẵn sàng tiếp nhận chữ ký số.</w:t>
      </w:r>
    </w:p>
  </w:footnote>
  <w:footnote w:id="23">
    <w:p w:rsidR="002067D6" w:rsidRPr="00744B04" w:rsidRDefault="002067D6" w:rsidP="00744B04">
      <w:pPr>
        <w:widowControl w:val="0"/>
        <w:jc w:val="both"/>
        <w:rPr>
          <w:sz w:val="20"/>
          <w:szCs w:val="20"/>
        </w:rPr>
      </w:pPr>
      <w:r w:rsidRPr="00744B04">
        <w:rPr>
          <w:rStyle w:val="FootnoteReference"/>
          <w:sz w:val="20"/>
          <w:szCs w:val="20"/>
        </w:rPr>
        <w:footnoteRef/>
      </w:r>
      <w:r w:rsidRPr="00744B04">
        <w:rPr>
          <w:sz w:val="20"/>
          <w:szCs w:val="20"/>
        </w:rPr>
        <w:t xml:space="preserve"> Trong 6 tháng đầu năm 2024, Hệ thống đã tiếp nhận tổng số </w:t>
      </w:r>
      <w:r w:rsidRPr="00744B04">
        <w:rPr>
          <w:sz w:val="20"/>
          <w:szCs w:val="20"/>
          <w:lang w:val="vi-VN"/>
        </w:rPr>
        <w:t xml:space="preserve">39.386 </w:t>
      </w:r>
      <w:r w:rsidRPr="00744B04">
        <w:rPr>
          <w:sz w:val="20"/>
          <w:szCs w:val="20"/>
        </w:rPr>
        <w:t xml:space="preserve"> PAKN của người dân về quy định và hành vi hành chính (chưa bao gồm </w:t>
      </w:r>
      <w:r w:rsidRPr="00744B04">
        <w:rPr>
          <w:sz w:val="20"/>
          <w:szCs w:val="20"/>
          <w:lang w:val="vi-VN"/>
        </w:rPr>
        <w:t xml:space="preserve">42.211 </w:t>
      </w:r>
      <w:r w:rsidRPr="00744B04">
        <w:rPr>
          <w:sz w:val="20"/>
          <w:szCs w:val="20"/>
        </w:rPr>
        <w:t xml:space="preserve">PAKN </w:t>
      </w:r>
      <w:r w:rsidRPr="00744B04">
        <w:rPr>
          <w:sz w:val="20"/>
          <w:szCs w:val="20"/>
          <w:lang w:val="vi-VN"/>
        </w:rPr>
        <w:t>từ kỳ trước chuyển sang</w:t>
      </w:r>
      <w:r w:rsidRPr="00744B04">
        <w:rPr>
          <w:sz w:val="20"/>
          <w:szCs w:val="20"/>
        </w:rPr>
        <w:t xml:space="preserve">); đã xem xét, xử lý </w:t>
      </w:r>
      <w:r w:rsidRPr="00744B04">
        <w:rPr>
          <w:sz w:val="20"/>
          <w:szCs w:val="20"/>
          <w:lang w:val="vi-VN"/>
        </w:rPr>
        <w:t>35.689</w:t>
      </w:r>
      <w:r w:rsidRPr="00744B04">
        <w:rPr>
          <w:sz w:val="20"/>
          <w:szCs w:val="20"/>
        </w:rPr>
        <w:t xml:space="preserve"> PAKN, đạt </w:t>
      </w:r>
      <w:r w:rsidRPr="00744B04">
        <w:rPr>
          <w:sz w:val="20"/>
          <w:szCs w:val="20"/>
          <w:lang w:val="vi-VN"/>
        </w:rPr>
        <w:t>gần 44</w:t>
      </w:r>
      <w:r w:rsidRPr="00744B04">
        <w:rPr>
          <w:sz w:val="20"/>
          <w:szCs w:val="20"/>
        </w:rPr>
        <w:t>% (</w:t>
      </w:r>
      <w:r w:rsidRPr="00744B04">
        <w:rPr>
          <w:sz w:val="20"/>
          <w:szCs w:val="20"/>
          <w:lang w:val="vi-VN"/>
        </w:rPr>
        <w:t xml:space="preserve">35.689/81.597 </w:t>
      </w:r>
      <w:r w:rsidRPr="00744B04">
        <w:rPr>
          <w:sz w:val="20"/>
          <w:szCs w:val="20"/>
        </w:rPr>
        <w:t xml:space="preserve">PAKN), trong đó, các bộ, ngành đã xử lý </w:t>
      </w:r>
      <w:r w:rsidRPr="00744B04">
        <w:rPr>
          <w:sz w:val="20"/>
          <w:szCs w:val="20"/>
          <w:lang w:val="vi-VN"/>
        </w:rPr>
        <w:t>19.803</w:t>
      </w:r>
      <w:r w:rsidRPr="00744B04">
        <w:rPr>
          <w:sz w:val="20"/>
          <w:szCs w:val="20"/>
        </w:rPr>
        <w:t xml:space="preserve"> PAKN, đạt </w:t>
      </w:r>
      <w:r w:rsidRPr="00744B04">
        <w:rPr>
          <w:sz w:val="20"/>
          <w:szCs w:val="20"/>
          <w:lang w:val="vi-VN"/>
        </w:rPr>
        <w:t>gần 40</w:t>
      </w:r>
      <w:r w:rsidRPr="00744B04">
        <w:rPr>
          <w:sz w:val="20"/>
          <w:szCs w:val="20"/>
        </w:rPr>
        <w:t xml:space="preserve">%, các địa phương đã xử lý </w:t>
      </w:r>
      <w:r w:rsidRPr="00744B04">
        <w:rPr>
          <w:sz w:val="20"/>
          <w:szCs w:val="20"/>
          <w:lang w:val="vi-VN"/>
        </w:rPr>
        <w:t xml:space="preserve">15.886 </w:t>
      </w:r>
      <w:r w:rsidRPr="00744B04">
        <w:rPr>
          <w:sz w:val="20"/>
          <w:szCs w:val="20"/>
        </w:rPr>
        <w:t xml:space="preserve">PAKN, đạt </w:t>
      </w:r>
      <w:r w:rsidRPr="00744B04">
        <w:rPr>
          <w:sz w:val="20"/>
          <w:szCs w:val="20"/>
          <w:lang w:val="vi-VN"/>
        </w:rPr>
        <w:t>gần 50</w:t>
      </w:r>
      <w:r w:rsidRPr="00744B04">
        <w:rPr>
          <w:sz w:val="20"/>
          <w:szCs w:val="20"/>
        </w:rPr>
        <w:t>%.</w:t>
      </w:r>
    </w:p>
  </w:footnote>
  <w:footnote w:id="24">
    <w:p w:rsidR="002067D6" w:rsidRPr="00744B04" w:rsidRDefault="002067D6" w:rsidP="00744B04">
      <w:pPr>
        <w:pStyle w:val="FootnoteText"/>
        <w:jc w:val="both"/>
        <w:rPr>
          <w:sz w:val="20"/>
          <w:szCs w:val="20"/>
        </w:rPr>
      </w:pPr>
      <w:r w:rsidRPr="00744B04">
        <w:rPr>
          <w:rStyle w:val="FootnoteReference"/>
          <w:sz w:val="20"/>
          <w:szCs w:val="20"/>
        </w:rPr>
        <w:footnoteRef/>
      </w:r>
      <w:r w:rsidRPr="00744B04">
        <w:rPr>
          <w:sz w:val="20"/>
          <w:szCs w:val="20"/>
        </w:rPr>
        <w:t xml:space="preserve"> Quyết định số 19/QĐ-HĐTV ngày 16/02/2024 của Chủ tịch Hội đồng tư vấn về việc phê duyệt thành viên các Ban công tác của Hội đồng tư vấn cải cách TTHC.</w:t>
      </w:r>
    </w:p>
  </w:footnote>
  <w:footnote w:id="25">
    <w:p w:rsidR="002067D6" w:rsidRPr="00744B04" w:rsidRDefault="002067D6" w:rsidP="00744B04">
      <w:pPr>
        <w:pStyle w:val="FootnoteText"/>
        <w:jc w:val="both"/>
        <w:rPr>
          <w:sz w:val="20"/>
          <w:szCs w:val="20"/>
        </w:rPr>
      </w:pPr>
      <w:r w:rsidRPr="00744B04">
        <w:rPr>
          <w:rStyle w:val="FootnoteReference"/>
          <w:sz w:val="20"/>
          <w:szCs w:val="20"/>
        </w:rPr>
        <w:footnoteRef/>
      </w:r>
      <w:r w:rsidRPr="00744B04">
        <w:rPr>
          <w:sz w:val="20"/>
          <w:szCs w:val="20"/>
        </w:rPr>
        <w:t xml:space="preserve"> Báo cáo số 17/BC-HĐTV ngày 15/02/2024 của Hội đồng tư vấn cải cách TTHC.</w:t>
      </w:r>
    </w:p>
  </w:footnote>
  <w:footnote w:id="26">
    <w:p w:rsidR="002067D6" w:rsidRPr="00744B04" w:rsidRDefault="002067D6" w:rsidP="00744B04">
      <w:pPr>
        <w:pStyle w:val="FootnoteText"/>
        <w:jc w:val="both"/>
        <w:rPr>
          <w:sz w:val="20"/>
          <w:szCs w:val="20"/>
        </w:rPr>
      </w:pPr>
      <w:r w:rsidRPr="00744B04">
        <w:rPr>
          <w:rStyle w:val="FootnoteReference"/>
          <w:sz w:val="20"/>
          <w:szCs w:val="20"/>
        </w:rPr>
        <w:footnoteRef/>
      </w:r>
      <w:r w:rsidRPr="00744B04">
        <w:rPr>
          <w:sz w:val="20"/>
          <w:szCs w:val="20"/>
        </w:rPr>
        <w:t xml:space="preserve"> Quyết định số 20/QĐ-HĐTV ngày 16/02/2024 của Chủ tịch Hội đồng tư vấn về việc ban hành Kế hoạch hoạt động năm 2024 của Hội đồng tư vấn cải cách TTHC.</w:t>
      </w:r>
    </w:p>
  </w:footnote>
  <w:footnote w:id="27">
    <w:p w:rsidR="002067D6" w:rsidRPr="00744B04" w:rsidRDefault="002067D6" w:rsidP="00744B04">
      <w:pPr>
        <w:pStyle w:val="FootnoteText"/>
        <w:jc w:val="both"/>
        <w:rPr>
          <w:sz w:val="20"/>
          <w:szCs w:val="20"/>
          <w:lang w:val="vi-VN"/>
        </w:rPr>
      </w:pPr>
      <w:r w:rsidRPr="00744B04">
        <w:rPr>
          <w:rStyle w:val="FootnoteReference"/>
          <w:sz w:val="20"/>
          <w:szCs w:val="20"/>
        </w:rPr>
        <w:footnoteRef/>
      </w:r>
      <w:r w:rsidRPr="00744B04">
        <w:rPr>
          <w:sz w:val="20"/>
          <w:szCs w:val="20"/>
        </w:rPr>
        <w:t xml:space="preserve"> </w:t>
      </w:r>
      <w:r w:rsidRPr="00744B04">
        <w:rPr>
          <w:sz w:val="20"/>
          <w:szCs w:val="20"/>
          <w:lang w:val="vi-VN"/>
        </w:rPr>
        <w:t>Hội nghị ngày 20/3/2024 tại Hà Nội và ngày 30-31/5/2024 tại Hải Phòng.</w:t>
      </w:r>
    </w:p>
  </w:footnote>
  <w:footnote w:id="28">
    <w:p w:rsidR="002067D6" w:rsidRPr="00744B04" w:rsidRDefault="002067D6" w:rsidP="00744B04">
      <w:pPr>
        <w:snapToGrid w:val="0"/>
        <w:jc w:val="both"/>
        <w:rPr>
          <w:sz w:val="20"/>
          <w:szCs w:val="20"/>
          <w:lang w:val="vi-VN"/>
        </w:rPr>
      </w:pPr>
      <w:r w:rsidRPr="00744B04">
        <w:rPr>
          <w:rStyle w:val="FootnoteReference"/>
          <w:sz w:val="20"/>
          <w:szCs w:val="20"/>
        </w:rPr>
        <w:footnoteRef/>
      </w:r>
      <w:r w:rsidRPr="00744B04">
        <w:rPr>
          <w:sz w:val="20"/>
          <w:szCs w:val="20"/>
        </w:rPr>
        <w:t xml:space="preserve"> </w:t>
      </w:r>
      <w:r w:rsidRPr="00744B04">
        <w:rPr>
          <w:sz w:val="20"/>
          <w:szCs w:val="20"/>
          <w:lang w:val="vi-VN"/>
        </w:rPr>
        <w:t xml:space="preserve">Cụ thể như: </w:t>
      </w:r>
    </w:p>
    <w:p w:rsidR="002067D6" w:rsidRPr="00744B04" w:rsidRDefault="002067D6" w:rsidP="00744B04">
      <w:pPr>
        <w:snapToGrid w:val="0"/>
        <w:jc w:val="both"/>
        <w:rPr>
          <w:sz w:val="20"/>
          <w:szCs w:val="20"/>
          <w:lang w:val="vi-VN"/>
        </w:rPr>
      </w:pPr>
      <w:r w:rsidRPr="00744B04">
        <w:rPr>
          <w:sz w:val="20"/>
          <w:szCs w:val="20"/>
          <w:lang w:val="vi-VN"/>
        </w:rPr>
        <w:t xml:space="preserve">(i) </w:t>
      </w:r>
      <w:r w:rsidRPr="00744B04">
        <w:rPr>
          <w:sz w:val="20"/>
          <w:szCs w:val="20"/>
        </w:rPr>
        <w:t xml:space="preserve">Ngay </w:t>
      </w:r>
      <w:r w:rsidRPr="00744B04">
        <w:rPr>
          <w:sz w:val="20"/>
          <w:szCs w:val="20"/>
          <w:lang w:val="en-US"/>
        </w:rPr>
        <w:t xml:space="preserve">từ </w:t>
      </w:r>
      <w:r w:rsidRPr="00744B04">
        <w:rPr>
          <w:sz w:val="20"/>
          <w:szCs w:val="20"/>
        </w:rPr>
        <w:t>tháng 01</w:t>
      </w:r>
      <w:r w:rsidRPr="00744B04">
        <w:rPr>
          <w:sz w:val="20"/>
          <w:szCs w:val="20"/>
          <w:lang w:val="en-US"/>
        </w:rPr>
        <w:t>/</w:t>
      </w:r>
      <w:r w:rsidRPr="00744B04">
        <w:rPr>
          <w:sz w:val="20"/>
          <w:szCs w:val="20"/>
        </w:rPr>
        <w:t xml:space="preserve">2024, </w:t>
      </w:r>
      <w:r w:rsidRPr="00744B04">
        <w:rPr>
          <w:sz w:val="20"/>
          <w:szCs w:val="20"/>
          <w:lang w:val="vi-VN"/>
        </w:rPr>
        <w:t>các</w:t>
      </w:r>
      <w:r w:rsidRPr="00744B04">
        <w:rPr>
          <w:sz w:val="20"/>
          <w:szCs w:val="20"/>
          <w:lang w:val="en-US"/>
        </w:rPr>
        <w:t xml:space="preserve"> thành viên Hội đồng tư vấn </w:t>
      </w:r>
      <w:r w:rsidRPr="00744B04">
        <w:rPr>
          <w:sz w:val="20"/>
          <w:szCs w:val="20"/>
        </w:rPr>
        <w:t xml:space="preserve">đã có nhiều kiến nghị gửi tới Thủ tướng Chính phủ, Bộ trưởng một số bộ, ngành và Tổ công tác cải cách </w:t>
      </w:r>
      <w:r w:rsidRPr="00744B04">
        <w:rPr>
          <w:sz w:val="20"/>
          <w:szCs w:val="20"/>
          <w:lang w:val="en-US"/>
        </w:rPr>
        <w:t>TTHC, t</w:t>
      </w:r>
      <w:r w:rsidRPr="00744B04">
        <w:rPr>
          <w:sz w:val="20"/>
          <w:szCs w:val="20"/>
        </w:rPr>
        <w:t>rong đó nhiều lần đề cập và kiến nghị thực thi thực chất, hiệu quả Nghị quyết số 02/NQ-CP.</w:t>
      </w:r>
    </w:p>
    <w:p w:rsidR="002067D6" w:rsidRPr="00744B04" w:rsidRDefault="002067D6" w:rsidP="00744B04">
      <w:pPr>
        <w:snapToGrid w:val="0"/>
        <w:jc w:val="both"/>
        <w:rPr>
          <w:sz w:val="20"/>
          <w:szCs w:val="20"/>
          <w:lang w:val="vi-VN"/>
        </w:rPr>
      </w:pPr>
      <w:r w:rsidRPr="00744B04">
        <w:rPr>
          <w:iCs/>
          <w:sz w:val="20"/>
          <w:szCs w:val="20"/>
        </w:rPr>
        <w:t>(i</w:t>
      </w:r>
      <w:r w:rsidRPr="00744B04">
        <w:rPr>
          <w:iCs/>
          <w:sz w:val="20"/>
          <w:szCs w:val="20"/>
          <w:lang w:val="vi-VN"/>
        </w:rPr>
        <w:t>i</w:t>
      </w:r>
      <w:r w:rsidRPr="00744B04">
        <w:rPr>
          <w:iCs/>
          <w:sz w:val="20"/>
          <w:szCs w:val="20"/>
        </w:rPr>
        <w:t>) Ủy ban Trung ương Mặt trận Tổ quốc Việt Nam</w:t>
      </w:r>
      <w:r w:rsidRPr="00744B04">
        <w:rPr>
          <w:iCs/>
          <w:sz w:val="20"/>
          <w:szCs w:val="20"/>
          <w:lang w:val="vi-VN"/>
        </w:rPr>
        <w:t>:</w:t>
      </w:r>
      <w:r w:rsidRPr="00744B04">
        <w:rPr>
          <w:i/>
          <w:sz w:val="20"/>
          <w:szCs w:val="20"/>
        </w:rPr>
        <w:t xml:space="preserve"> </w:t>
      </w:r>
      <w:r w:rsidRPr="00744B04">
        <w:rPr>
          <w:iCs/>
          <w:sz w:val="20"/>
          <w:szCs w:val="20"/>
        </w:rPr>
        <w:t>Tổ chức 0</w:t>
      </w:r>
      <w:r w:rsidRPr="00744B04">
        <w:rPr>
          <w:iCs/>
          <w:sz w:val="20"/>
          <w:szCs w:val="20"/>
          <w:lang w:val="vi-VN"/>
        </w:rPr>
        <w:t>2</w:t>
      </w:r>
      <w:r w:rsidRPr="00744B04">
        <w:rPr>
          <w:iCs/>
          <w:sz w:val="20"/>
          <w:szCs w:val="20"/>
        </w:rPr>
        <w:t xml:space="preserve"> hội nghị phản biện xã hội đối với dự thảo Luật Di sản văn hóa (sửa đổi)</w:t>
      </w:r>
      <w:r w:rsidRPr="00744B04">
        <w:rPr>
          <w:iCs/>
          <w:sz w:val="20"/>
          <w:szCs w:val="20"/>
          <w:lang w:val="vi-VN"/>
        </w:rPr>
        <w:t xml:space="preserve"> và dự thảo Luật Quy hoạch đô thị và nông thôn; </w:t>
      </w:r>
      <w:r w:rsidRPr="00744B04">
        <w:rPr>
          <w:iCs/>
          <w:sz w:val="20"/>
          <w:szCs w:val="20"/>
        </w:rPr>
        <w:t xml:space="preserve">góp ý đối với </w:t>
      </w:r>
      <w:r w:rsidRPr="00744B04">
        <w:rPr>
          <w:iCs/>
          <w:sz w:val="20"/>
          <w:szCs w:val="20"/>
          <w:lang w:val="vi-VN"/>
        </w:rPr>
        <w:t>12</w:t>
      </w:r>
      <w:r w:rsidRPr="00744B04">
        <w:rPr>
          <w:iCs/>
          <w:sz w:val="20"/>
          <w:szCs w:val="20"/>
        </w:rPr>
        <w:t xml:space="preserve"> dự thảo VB</w:t>
      </w:r>
      <w:r w:rsidRPr="00744B04">
        <w:rPr>
          <w:iCs/>
          <w:sz w:val="20"/>
          <w:szCs w:val="20"/>
          <w:lang w:val="vi-VN"/>
        </w:rPr>
        <w:t>QPPL</w:t>
      </w:r>
      <w:r w:rsidRPr="00744B04">
        <w:rPr>
          <w:iCs/>
          <w:sz w:val="20"/>
          <w:szCs w:val="20"/>
        </w:rPr>
        <w:t>, đề án về tổ chức, hoạt động của cơ quan, tổ chức trong hệ thống chính trị, trong đó có nhiều dự thảo văn bản liên quan đến cải cách</w:t>
      </w:r>
      <w:r w:rsidRPr="00744B04">
        <w:rPr>
          <w:iCs/>
          <w:sz w:val="20"/>
          <w:szCs w:val="20"/>
          <w:lang w:val="vi-VN"/>
        </w:rPr>
        <w:t xml:space="preserve"> TTHC.</w:t>
      </w:r>
    </w:p>
    <w:p w:rsidR="002067D6" w:rsidRPr="00744B04" w:rsidRDefault="002067D6" w:rsidP="00744B04">
      <w:pPr>
        <w:jc w:val="both"/>
        <w:rPr>
          <w:iCs/>
          <w:sz w:val="20"/>
          <w:szCs w:val="20"/>
          <w:lang w:val="vi-VN"/>
        </w:rPr>
      </w:pPr>
      <w:r w:rsidRPr="00744B04">
        <w:rPr>
          <w:iCs/>
          <w:sz w:val="20"/>
          <w:szCs w:val="20"/>
        </w:rPr>
        <w:t>(ii</w:t>
      </w:r>
      <w:r w:rsidRPr="00744B04">
        <w:rPr>
          <w:iCs/>
          <w:sz w:val="20"/>
          <w:szCs w:val="20"/>
          <w:lang w:val="vi-VN"/>
        </w:rPr>
        <w:t>i</w:t>
      </w:r>
      <w:r w:rsidRPr="00744B04">
        <w:rPr>
          <w:iCs/>
          <w:sz w:val="20"/>
          <w:szCs w:val="20"/>
        </w:rPr>
        <w:t>) Liên đoàn Thương mại và Công nghiệp Việt Nam (VCCI)</w:t>
      </w:r>
      <w:r w:rsidRPr="00744B04">
        <w:rPr>
          <w:iCs/>
          <w:sz w:val="20"/>
          <w:szCs w:val="20"/>
          <w:lang w:val="vi-VN"/>
        </w:rPr>
        <w:t>:</w:t>
      </w:r>
      <w:r w:rsidRPr="00744B04">
        <w:rPr>
          <w:sz w:val="20"/>
          <w:szCs w:val="20"/>
        </w:rPr>
        <w:t xml:space="preserve"> </w:t>
      </w:r>
      <w:r w:rsidRPr="00744B04">
        <w:rPr>
          <w:rFonts w:eastAsiaTheme="minorEastAsia"/>
          <w:color w:val="000000" w:themeColor="text1"/>
          <w:sz w:val="20"/>
          <w:szCs w:val="20"/>
        </w:rPr>
        <w:t>G</w:t>
      </w:r>
      <w:r w:rsidRPr="00744B04">
        <w:rPr>
          <w:rFonts w:eastAsiaTheme="minorEastAsia"/>
          <w:color w:val="000000" w:themeColor="text1"/>
          <w:sz w:val="20"/>
          <w:szCs w:val="20"/>
          <w:lang w:val="vi-VN"/>
        </w:rPr>
        <w:t xml:space="preserve">óp ý bằng văn bản đối với 26 dự thảo </w:t>
      </w:r>
      <w:r w:rsidRPr="00744B04">
        <w:rPr>
          <w:rFonts w:eastAsiaTheme="minorEastAsia"/>
          <w:color w:val="000000" w:themeColor="text1"/>
          <w:sz w:val="20"/>
          <w:szCs w:val="20"/>
        </w:rPr>
        <w:t>VB</w:t>
      </w:r>
      <w:r w:rsidRPr="00744B04">
        <w:rPr>
          <w:rFonts w:eastAsiaTheme="minorEastAsia"/>
          <w:color w:val="000000" w:themeColor="text1"/>
          <w:sz w:val="20"/>
          <w:szCs w:val="20"/>
          <w:lang w:val="vi-VN"/>
        </w:rPr>
        <w:t>QPPL; tích</w:t>
      </w:r>
      <w:r w:rsidRPr="00744B04">
        <w:rPr>
          <w:rFonts w:eastAsiaTheme="minorEastAsia"/>
          <w:color w:val="000000" w:themeColor="text1"/>
          <w:sz w:val="20"/>
          <w:szCs w:val="20"/>
        </w:rPr>
        <w:t xml:space="preserve"> cực phối hợp với các bộ, ngành, đơn vị xây dựng chính sách thực hiện các hoạt động phản biện chính sách</w:t>
      </w:r>
      <w:r w:rsidRPr="00744B04">
        <w:rPr>
          <w:rFonts w:eastAsiaTheme="minorEastAsia"/>
          <w:color w:val="000000" w:themeColor="text1"/>
          <w:sz w:val="20"/>
          <w:szCs w:val="20"/>
          <w:lang w:val="vi-VN"/>
        </w:rPr>
        <w:t xml:space="preserve">. </w:t>
      </w:r>
    </w:p>
    <w:p w:rsidR="002067D6" w:rsidRPr="00744B04" w:rsidRDefault="002067D6" w:rsidP="00744B04">
      <w:pPr>
        <w:jc w:val="both"/>
        <w:rPr>
          <w:iCs/>
          <w:sz w:val="20"/>
          <w:szCs w:val="20"/>
          <w:lang w:val="vi-VN"/>
        </w:rPr>
      </w:pPr>
      <w:r w:rsidRPr="00744B04">
        <w:rPr>
          <w:color w:val="000000" w:themeColor="text1"/>
          <w:sz w:val="20"/>
          <w:szCs w:val="20"/>
        </w:rPr>
        <w:t>(i</w:t>
      </w:r>
      <w:r w:rsidRPr="00744B04">
        <w:rPr>
          <w:color w:val="000000" w:themeColor="text1"/>
          <w:sz w:val="20"/>
          <w:szCs w:val="20"/>
          <w:lang w:val="vi-VN"/>
        </w:rPr>
        <w:t>v</w:t>
      </w:r>
      <w:r w:rsidRPr="00744B04">
        <w:rPr>
          <w:color w:val="000000" w:themeColor="text1"/>
          <w:sz w:val="20"/>
          <w:szCs w:val="20"/>
        </w:rPr>
        <w:t xml:space="preserve">) </w:t>
      </w:r>
      <w:r w:rsidRPr="00744B04">
        <w:rPr>
          <w:color w:val="000000" w:themeColor="text1"/>
          <w:sz w:val="20"/>
          <w:szCs w:val="20"/>
          <w:lang w:val="vi-VN"/>
        </w:rPr>
        <w:t>Viện Nghiên cứu quản lý kinh tế Trung ương</w:t>
      </w:r>
      <w:r w:rsidRPr="00744B04">
        <w:rPr>
          <w:color w:val="000000" w:themeColor="text1"/>
          <w:sz w:val="20"/>
          <w:szCs w:val="20"/>
        </w:rPr>
        <w:t xml:space="preserve"> (CIEM), Bộ Kế hoạch và Đầu tư</w:t>
      </w:r>
      <w:r w:rsidRPr="00744B04">
        <w:rPr>
          <w:color w:val="000000" w:themeColor="text1"/>
          <w:sz w:val="20"/>
          <w:szCs w:val="20"/>
          <w:lang w:val="vi-VN"/>
        </w:rPr>
        <w:t xml:space="preserve">: </w:t>
      </w:r>
      <w:r w:rsidRPr="00744B04">
        <w:rPr>
          <w:color w:val="000000" w:themeColor="text1"/>
          <w:sz w:val="20"/>
          <w:szCs w:val="20"/>
        </w:rPr>
        <w:t>Đ</w:t>
      </w:r>
      <w:r w:rsidRPr="00744B04">
        <w:rPr>
          <w:color w:val="000000" w:themeColor="text1"/>
          <w:sz w:val="20"/>
          <w:szCs w:val="20"/>
          <w:lang w:val="vi-VN"/>
        </w:rPr>
        <w:t>ã chủ trì soạn thảo và trình các cấp có thẩm quyền ban hành Nghị quyết số 02/NQ-CP ngày 05</w:t>
      </w:r>
      <w:r w:rsidRPr="00744B04">
        <w:rPr>
          <w:color w:val="000000" w:themeColor="text1"/>
          <w:sz w:val="20"/>
          <w:szCs w:val="20"/>
        </w:rPr>
        <w:t>/</w:t>
      </w:r>
      <w:r w:rsidRPr="00744B04">
        <w:rPr>
          <w:color w:val="000000" w:themeColor="text1"/>
          <w:sz w:val="20"/>
          <w:szCs w:val="20"/>
          <w:lang w:val="vi-VN"/>
        </w:rPr>
        <w:t>01</w:t>
      </w:r>
      <w:r w:rsidRPr="00744B04">
        <w:rPr>
          <w:color w:val="000000" w:themeColor="text1"/>
          <w:sz w:val="20"/>
          <w:szCs w:val="20"/>
        </w:rPr>
        <w:t>/</w:t>
      </w:r>
      <w:r w:rsidRPr="00744B04">
        <w:rPr>
          <w:color w:val="000000" w:themeColor="text1"/>
          <w:sz w:val="20"/>
          <w:szCs w:val="20"/>
          <w:lang w:val="vi-VN"/>
        </w:rPr>
        <w:t>2024</w:t>
      </w:r>
      <w:r w:rsidRPr="00744B04">
        <w:rPr>
          <w:color w:val="000000" w:themeColor="text1"/>
          <w:sz w:val="20"/>
          <w:szCs w:val="20"/>
        </w:rPr>
        <w:t xml:space="preserve"> của Chính phủ</w:t>
      </w:r>
      <w:r w:rsidRPr="00744B04">
        <w:rPr>
          <w:color w:val="000000" w:themeColor="text1"/>
          <w:sz w:val="20"/>
          <w:szCs w:val="20"/>
          <w:lang w:val="vi-VN"/>
        </w:rPr>
        <w:t xml:space="preserve"> </w:t>
      </w:r>
      <w:r w:rsidRPr="00744B04">
        <w:rPr>
          <w:color w:val="000000" w:themeColor="text1"/>
          <w:sz w:val="20"/>
          <w:szCs w:val="20"/>
          <w:shd w:val="clear" w:color="auto" w:fill="FFFFFF"/>
          <w:lang w:val="vi-VN"/>
        </w:rPr>
        <w:t>v</w:t>
      </w:r>
      <w:r w:rsidRPr="00744B04">
        <w:rPr>
          <w:color w:val="000000" w:themeColor="text1"/>
          <w:sz w:val="20"/>
          <w:szCs w:val="20"/>
          <w:shd w:val="clear" w:color="auto" w:fill="FFFFFF"/>
        </w:rPr>
        <w:t>ề những nhiệm vụ, giải pháp chủ yếu cải thiện môi trường kinh doanh, nâng cao năng lực cạnh tranh quốc gia năm 2024</w:t>
      </w:r>
      <w:r w:rsidRPr="00744B04">
        <w:rPr>
          <w:color w:val="000000" w:themeColor="text1"/>
          <w:sz w:val="20"/>
          <w:szCs w:val="20"/>
          <w:shd w:val="clear" w:color="auto" w:fill="FFFFFF"/>
          <w:lang w:val="en-US"/>
        </w:rPr>
        <w:t xml:space="preserve">; </w:t>
      </w:r>
      <w:r w:rsidRPr="00744B04">
        <w:rPr>
          <w:color w:val="000000" w:themeColor="text1"/>
          <w:sz w:val="20"/>
          <w:szCs w:val="20"/>
          <w:shd w:val="clear" w:color="auto" w:fill="FFFFFF"/>
          <w:lang w:val="vi-VN"/>
        </w:rPr>
        <w:t>xây dựng văn bản hướng dẫn tiêu chí rà soát, đánh giá tác động, cách thức xác định tên gọi của ngành, nghề đầu tư kinh doanh có điều kiện và điều kiện đầu tư kinh doanh gửi các bộ, ngành, cơ quan tham khảo.</w:t>
      </w:r>
    </w:p>
    <w:p w:rsidR="001127F9" w:rsidRDefault="002067D6" w:rsidP="00744B04">
      <w:pPr>
        <w:jc w:val="both"/>
        <w:rPr>
          <w:color w:val="000000" w:themeColor="text1"/>
          <w:sz w:val="20"/>
          <w:szCs w:val="20"/>
        </w:rPr>
      </w:pPr>
      <w:r w:rsidRPr="00744B04">
        <w:rPr>
          <w:color w:val="000000" w:themeColor="text1"/>
          <w:sz w:val="20"/>
          <w:szCs w:val="20"/>
        </w:rPr>
        <w:t xml:space="preserve">(v) </w:t>
      </w:r>
      <w:r w:rsidRPr="00744B04">
        <w:rPr>
          <w:color w:val="000000" w:themeColor="text1"/>
          <w:sz w:val="20"/>
          <w:szCs w:val="20"/>
          <w:lang w:val="vi-VN"/>
        </w:rPr>
        <w:t>Hội Luật gia Việt Nam đã xây dựng Hồ sơ đề nghị xây dựng Luật sửa đổi, bổ sung một số điều của Luật Trọng tài thương mại (nhiệm vụ được Ủy ban Thường vụ Quốc hội giao)</w:t>
      </w:r>
      <w:r w:rsidR="001127F9">
        <w:rPr>
          <w:color w:val="000000" w:themeColor="text1"/>
          <w:sz w:val="20"/>
          <w:szCs w:val="20"/>
          <w:lang w:val="en-US"/>
        </w:rPr>
        <w:t>;</w:t>
      </w:r>
      <w:r w:rsidRPr="00744B04" w:rsidDel="00183BB8">
        <w:rPr>
          <w:color w:val="000000" w:themeColor="text1"/>
          <w:sz w:val="20"/>
          <w:szCs w:val="20"/>
        </w:rPr>
        <w:t xml:space="preserve"> </w:t>
      </w:r>
      <w:r w:rsidR="001127F9">
        <w:rPr>
          <w:color w:val="000000" w:themeColor="text1"/>
          <w:sz w:val="20"/>
          <w:szCs w:val="20"/>
          <w:lang w:val="vi-VN"/>
        </w:rPr>
        <w:t>ban hành văn bản chỉ đạo Hội Luật gia các tỉnh phối hợp chặt chẽ về kiểm soát TTHC trong quá trình xây dựng văn bản pháp luật ở các địa phương được giao phụ trách; đóng góp nhiều ý kiến thiết thực cho công tác cải cách TTHC.</w:t>
      </w:r>
    </w:p>
    <w:p w:rsidR="002067D6" w:rsidRPr="00744B04" w:rsidRDefault="002067D6" w:rsidP="00744B04">
      <w:pPr>
        <w:jc w:val="both"/>
        <w:rPr>
          <w:iCs/>
          <w:sz w:val="20"/>
          <w:szCs w:val="20"/>
          <w:lang w:val="vi-VN"/>
        </w:rPr>
      </w:pPr>
      <w:r w:rsidRPr="00744B04">
        <w:rPr>
          <w:color w:val="000000" w:themeColor="text1"/>
          <w:sz w:val="20"/>
          <w:szCs w:val="20"/>
        </w:rPr>
        <w:t>(v</w:t>
      </w:r>
      <w:r w:rsidRPr="00744B04">
        <w:rPr>
          <w:color w:val="000000" w:themeColor="text1"/>
          <w:sz w:val="20"/>
          <w:szCs w:val="20"/>
          <w:lang w:val="vi-VN"/>
        </w:rPr>
        <w:t>i</w:t>
      </w:r>
      <w:r w:rsidRPr="00744B04">
        <w:rPr>
          <w:color w:val="000000" w:themeColor="text1"/>
          <w:sz w:val="20"/>
          <w:szCs w:val="20"/>
        </w:rPr>
        <w:t xml:space="preserve">) </w:t>
      </w:r>
      <w:r w:rsidRPr="00744B04">
        <w:rPr>
          <w:color w:val="000000" w:themeColor="text1"/>
          <w:sz w:val="20"/>
          <w:szCs w:val="20"/>
          <w:lang w:val="vi-VN"/>
        </w:rPr>
        <w:t>Hiệp hội</w:t>
      </w:r>
      <w:r w:rsidRPr="00744B04">
        <w:rPr>
          <w:color w:val="000000" w:themeColor="text1"/>
          <w:sz w:val="20"/>
          <w:szCs w:val="20"/>
        </w:rPr>
        <w:t xml:space="preserve"> Doanh nghiệp nhỏ và vừa </w:t>
      </w:r>
      <w:r w:rsidRPr="00744B04">
        <w:rPr>
          <w:color w:val="000000" w:themeColor="text1"/>
          <w:sz w:val="20"/>
          <w:szCs w:val="20"/>
          <w:lang w:val="vi-VN"/>
        </w:rPr>
        <w:t>Việt Nam</w:t>
      </w:r>
      <w:r w:rsidRPr="00744B04">
        <w:rPr>
          <w:color w:val="000000" w:themeColor="text1"/>
          <w:sz w:val="20"/>
          <w:szCs w:val="20"/>
        </w:rPr>
        <w:t xml:space="preserve"> (VINASME)</w:t>
      </w:r>
      <w:r w:rsidRPr="00744B04">
        <w:rPr>
          <w:color w:val="000000" w:themeColor="text1"/>
          <w:sz w:val="20"/>
          <w:szCs w:val="20"/>
          <w:lang w:val="vi-VN"/>
        </w:rPr>
        <w:t xml:space="preserve">: </w:t>
      </w:r>
      <w:r w:rsidRPr="00744B04">
        <w:rPr>
          <w:color w:val="000000" w:themeColor="text1"/>
          <w:sz w:val="20"/>
          <w:szCs w:val="20"/>
        </w:rPr>
        <w:t>T</w:t>
      </w:r>
      <w:r w:rsidRPr="00744B04">
        <w:rPr>
          <w:color w:val="000000" w:themeColor="text1"/>
          <w:sz w:val="20"/>
          <w:szCs w:val="20"/>
          <w:lang w:val="vi-VN"/>
        </w:rPr>
        <w:t xml:space="preserve">ham gia góp ý đối với các dự thảo quy định liên quan đến hoạt động kinh doanh thuộc phạm vi, chức năng quản lý nhà nước của các bộ, ngành; phối hợp với Bộ Công </w:t>
      </w:r>
      <w:r w:rsidRPr="00744B04">
        <w:rPr>
          <w:color w:val="000000" w:themeColor="text1"/>
          <w:sz w:val="20"/>
          <w:szCs w:val="20"/>
        </w:rPr>
        <w:t>T</w:t>
      </w:r>
      <w:r w:rsidRPr="00744B04">
        <w:rPr>
          <w:color w:val="000000" w:themeColor="text1"/>
          <w:sz w:val="20"/>
          <w:szCs w:val="20"/>
          <w:lang w:val="vi-VN"/>
        </w:rPr>
        <w:t>hương tổ chức hội thảo lấy ý kiến cộng đồng doanh nghiệp về dự thảo Nghị định sửa đổi, bổ sung Nghị định số 83/20</w:t>
      </w:r>
      <w:r w:rsidRPr="00744B04">
        <w:rPr>
          <w:color w:val="000000" w:themeColor="text1"/>
          <w:sz w:val="20"/>
          <w:szCs w:val="20"/>
        </w:rPr>
        <w:t>1</w:t>
      </w:r>
      <w:r w:rsidRPr="00744B04">
        <w:rPr>
          <w:color w:val="000000" w:themeColor="text1"/>
          <w:sz w:val="20"/>
          <w:szCs w:val="20"/>
          <w:lang w:val="vi-VN"/>
        </w:rPr>
        <w:t>4/NĐ-CP và Nghị định số 95/2021/NĐ-CP</w:t>
      </w:r>
      <w:r w:rsidRPr="00744B04">
        <w:rPr>
          <w:color w:val="000000" w:themeColor="text1"/>
          <w:sz w:val="20"/>
          <w:szCs w:val="20"/>
        </w:rPr>
        <w:t xml:space="preserve"> của Chính phủ</w:t>
      </w:r>
      <w:r w:rsidRPr="00744B04">
        <w:rPr>
          <w:color w:val="000000" w:themeColor="text1"/>
          <w:sz w:val="20"/>
          <w:szCs w:val="20"/>
          <w:lang w:val="vi-VN"/>
        </w:rPr>
        <w:t xml:space="preserve"> về kinh doanh xăng dầu.</w:t>
      </w:r>
    </w:p>
    <w:p w:rsidR="002067D6" w:rsidRPr="00744B04" w:rsidRDefault="002067D6" w:rsidP="00744B04">
      <w:pPr>
        <w:jc w:val="both"/>
        <w:rPr>
          <w:iCs/>
          <w:sz w:val="20"/>
          <w:szCs w:val="20"/>
          <w:lang w:val="vi-VN"/>
        </w:rPr>
      </w:pPr>
      <w:r w:rsidRPr="00744B04">
        <w:rPr>
          <w:color w:val="000000" w:themeColor="text1"/>
          <w:sz w:val="20"/>
          <w:szCs w:val="20"/>
        </w:rPr>
        <w:t>(vi</w:t>
      </w:r>
      <w:r w:rsidRPr="00744B04">
        <w:rPr>
          <w:color w:val="000000" w:themeColor="text1"/>
          <w:sz w:val="20"/>
          <w:szCs w:val="20"/>
          <w:lang w:val="vi-VN"/>
        </w:rPr>
        <w:t>i</w:t>
      </w:r>
      <w:r w:rsidRPr="00744B04">
        <w:rPr>
          <w:color w:val="000000" w:themeColor="text1"/>
          <w:sz w:val="20"/>
          <w:szCs w:val="20"/>
        </w:rPr>
        <w:t xml:space="preserve">) </w:t>
      </w:r>
      <w:r w:rsidRPr="00744B04">
        <w:rPr>
          <w:color w:val="000000" w:themeColor="text1"/>
          <w:sz w:val="20"/>
          <w:szCs w:val="20"/>
          <w:lang w:val="vi-VN"/>
        </w:rPr>
        <w:t xml:space="preserve">Hội đồng các hiệp hội doanh nghiệp </w:t>
      </w:r>
      <w:r w:rsidRPr="00744B04">
        <w:rPr>
          <w:color w:val="000000" w:themeColor="text1"/>
          <w:sz w:val="20"/>
          <w:szCs w:val="20"/>
        </w:rPr>
        <w:t>ĐBSCL</w:t>
      </w:r>
      <w:r w:rsidRPr="00744B04">
        <w:rPr>
          <w:color w:val="000000" w:themeColor="text1"/>
          <w:sz w:val="20"/>
          <w:szCs w:val="20"/>
          <w:lang w:val="vi-VN"/>
        </w:rPr>
        <w:t xml:space="preserve">: </w:t>
      </w:r>
      <w:r w:rsidRPr="00744B04">
        <w:rPr>
          <w:color w:val="000000" w:themeColor="text1"/>
          <w:sz w:val="20"/>
          <w:szCs w:val="20"/>
        </w:rPr>
        <w:t>T</w:t>
      </w:r>
      <w:r w:rsidRPr="00744B04">
        <w:rPr>
          <w:color w:val="000000" w:themeColor="text1"/>
          <w:sz w:val="20"/>
          <w:szCs w:val="20"/>
          <w:lang w:val="vi-VN"/>
        </w:rPr>
        <w:t xml:space="preserve">ham gia góp ý đối với hơn 10 dự thảo nghị định, thông tư, </w:t>
      </w:r>
      <w:r w:rsidRPr="00744B04">
        <w:rPr>
          <w:sz w:val="20"/>
          <w:szCs w:val="20"/>
        </w:rPr>
        <w:t>nghị quyết của HĐND cấp tỉnh, quyết định của Chủ tịch UBND cấp tỉnh, các báo cáo và đóng góp dự thảo chương trình, hành động, kế hoạch,… liên quan đến doanh nghiệp</w:t>
      </w:r>
      <w:r w:rsidRPr="00744B04">
        <w:rPr>
          <w:sz w:val="20"/>
          <w:szCs w:val="20"/>
          <w:lang w:val="vi-VN"/>
        </w:rPr>
        <w:t xml:space="preserve">. </w:t>
      </w:r>
    </w:p>
    <w:p w:rsidR="002067D6" w:rsidRPr="00744B04" w:rsidRDefault="002067D6" w:rsidP="00744B04">
      <w:pPr>
        <w:jc w:val="both"/>
        <w:rPr>
          <w:iCs/>
          <w:sz w:val="20"/>
          <w:szCs w:val="20"/>
          <w:lang w:val="en-US"/>
        </w:rPr>
      </w:pPr>
      <w:r w:rsidRPr="00744B04">
        <w:rPr>
          <w:color w:val="000000" w:themeColor="text1"/>
          <w:sz w:val="20"/>
          <w:szCs w:val="20"/>
        </w:rPr>
        <w:t>(vii</w:t>
      </w:r>
      <w:r w:rsidRPr="00744B04">
        <w:rPr>
          <w:color w:val="000000" w:themeColor="text1"/>
          <w:sz w:val="20"/>
          <w:szCs w:val="20"/>
          <w:lang w:val="vi-VN"/>
        </w:rPr>
        <w:t>i</w:t>
      </w:r>
      <w:r w:rsidRPr="00744B04">
        <w:rPr>
          <w:color w:val="000000" w:themeColor="text1"/>
          <w:sz w:val="20"/>
          <w:szCs w:val="20"/>
        </w:rPr>
        <w:t xml:space="preserve">) </w:t>
      </w:r>
      <w:r w:rsidRPr="00744B04">
        <w:rPr>
          <w:color w:val="000000" w:themeColor="text1"/>
          <w:sz w:val="20"/>
          <w:szCs w:val="20"/>
          <w:lang w:val="vi-VN"/>
        </w:rPr>
        <w:t>Hiệp hội doanh nghiệp dịch vụ Logistics Việt Nam nghiên cứu, đề xuất các sáng kiến cải cách cơ chế, chính sách và TTHC nhằm nâng cao hiệu quả hoạt động của ngành logistics tại Việt Nam về các vấn đề cụ thể: duy tu luồng lạch, mở rộng luồng Kênh Hà Nam, Hải Phòng</w:t>
      </w:r>
      <w:r w:rsidRPr="00744B04">
        <w:rPr>
          <w:color w:val="000000" w:themeColor="text1"/>
          <w:sz w:val="20"/>
          <w:szCs w:val="20"/>
        </w:rPr>
        <w:t>;</w:t>
      </w:r>
      <w:r w:rsidRPr="00744B04">
        <w:rPr>
          <w:color w:val="000000" w:themeColor="text1"/>
          <w:sz w:val="20"/>
          <w:szCs w:val="20"/>
          <w:lang w:val="vi-VN"/>
        </w:rPr>
        <w:t xml:space="preserve"> quản lý hãng tàu nước ngoài</w:t>
      </w:r>
      <w:r w:rsidRPr="00744B04">
        <w:rPr>
          <w:color w:val="000000" w:themeColor="text1"/>
          <w:sz w:val="20"/>
          <w:szCs w:val="20"/>
        </w:rPr>
        <w:t>;</w:t>
      </w:r>
      <w:r w:rsidRPr="00744B04">
        <w:rPr>
          <w:color w:val="000000" w:themeColor="text1"/>
          <w:sz w:val="20"/>
          <w:szCs w:val="20"/>
          <w:lang w:val="vi-VN"/>
        </w:rPr>
        <w:t xml:space="preserve"> thủ tục bàn giao khu vực biển</w:t>
      </w:r>
      <w:r w:rsidRPr="00744B04">
        <w:rPr>
          <w:color w:val="000000" w:themeColor="text1"/>
          <w:sz w:val="20"/>
          <w:szCs w:val="20"/>
        </w:rPr>
        <w:t>;</w:t>
      </w:r>
      <w:r w:rsidRPr="00744B04">
        <w:rPr>
          <w:color w:val="000000" w:themeColor="text1"/>
          <w:sz w:val="20"/>
          <w:szCs w:val="20"/>
          <w:lang w:val="vi-VN"/>
        </w:rPr>
        <w:t xml:space="preserve"> rà soát lại các biển báo giao thông đường bộ;…</w:t>
      </w:r>
    </w:p>
    <w:p w:rsidR="002067D6" w:rsidRPr="00744B04" w:rsidRDefault="002067D6" w:rsidP="00744B04">
      <w:pPr>
        <w:jc w:val="both"/>
        <w:rPr>
          <w:iCs/>
          <w:sz w:val="20"/>
          <w:szCs w:val="20"/>
          <w:lang w:val="vi-VN"/>
        </w:rPr>
      </w:pPr>
      <w:r w:rsidRPr="00744B04">
        <w:rPr>
          <w:color w:val="000000" w:themeColor="text1"/>
          <w:sz w:val="20"/>
          <w:szCs w:val="20"/>
        </w:rPr>
        <w:t>(</w:t>
      </w:r>
      <w:r w:rsidRPr="00744B04">
        <w:rPr>
          <w:color w:val="000000" w:themeColor="text1"/>
          <w:sz w:val="20"/>
          <w:szCs w:val="20"/>
          <w:lang w:val="vi-VN"/>
        </w:rPr>
        <w:t>ix</w:t>
      </w:r>
      <w:r w:rsidRPr="00744B04">
        <w:rPr>
          <w:color w:val="000000" w:themeColor="text1"/>
          <w:sz w:val="20"/>
          <w:szCs w:val="20"/>
        </w:rPr>
        <w:t xml:space="preserve">) </w:t>
      </w:r>
      <w:r w:rsidRPr="00744B04">
        <w:rPr>
          <w:color w:val="000000" w:themeColor="text1"/>
          <w:sz w:val="20"/>
          <w:szCs w:val="20"/>
          <w:lang w:val="vi-VN"/>
        </w:rPr>
        <w:t>Hiệp hội Bệnh viện tư nhân Việt Nam</w:t>
      </w:r>
      <w:r w:rsidRPr="00744B04">
        <w:rPr>
          <w:sz w:val="20"/>
          <w:szCs w:val="20"/>
          <w:lang w:val="vi-VN"/>
        </w:rPr>
        <w:t xml:space="preserve">: </w:t>
      </w:r>
      <w:r w:rsidRPr="00744B04">
        <w:rPr>
          <w:sz w:val="20"/>
          <w:szCs w:val="20"/>
        </w:rPr>
        <w:t>T</w:t>
      </w:r>
      <w:r w:rsidRPr="00744B04">
        <w:rPr>
          <w:sz w:val="20"/>
          <w:szCs w:val="20"/>
          <w:lang w:val="vi-VN"/>
        </w:rPr>
        <w:t>ham gia góp ý dự thảo Nghị định quy định chi tiết một số điều và biện pháp thi hành của Luật Đấu thầu, dự thảo thông tư sửa đổi Thông tư số 20/2022/TT-BYT</w:t>
      </w:r>
      <w:r w:rsidRPr="00744B04">
        <w:rPr>
          <w:sz w:val="20"/>
          <w:szCs w:val="20"/>
        </w:rPr>
        <w:t xml:space="preserve"> của Bộ Y tế</w:t>
      </w:r>
      <w:r w:rsidRPr="00744B04">
        <w:rPr>
          <w:sz w:val="20"/>
          <w:szCs w:val="20"/>
          <w:lang w:val="vi-VN"/>
        </w:rPr>
        <w:t>, dự thảo Quyết định sửa đổi Quyết định</w:t>
      </w:r>
      <w:r w:rsidRPr="00744B04">
        <w:rPr>
          <w:sz w:val="20"/>
          <w:szCs w:val="20"/>
        </w:rPr>
        <w:t xml:space="preserve"> số</w:t>
      </w:r>
      <w:r w:rsidRPr="00744B04">
        <w:rPr>
          <w:sz w:val="20"/>
          <w:szCs w:val="20"/>
          <w:lang w:val="vi-VN"/>
        </w:rPr>
        <w:t xml:space="preserve"> 956/QĐ-TTg ngày 06</w:t>
      </w:r>
      <w:r w:rsidRPr="00744B04">
        <w:rPr>
          <w:sz w:val="20"/>
          <w:szCs w:val="20"/>
        </w:rPr>
        <w:t>/</w:t>
      </w:r>
      <w:r w:rsidRPr="00744B04">
        <w:rPr>
          <w:sz w:val="20"/>
          <w:szCs w:val="20"/>
          <w:lang w:val="vi-VN"/>
        </w:rPr>
        <w:t>7</w:t>
      </w:r>
      <w:r w:rsidRPr="00744B04">
        <w:rPr>
          <w:sz w:val="20"/>
          <w:szCs w:val="20"/>
        </w:rPr>
        <w:t>/</w:t>
      </w:r>
      <w:r w:rsidRPr="00744B04">
        <w:rPr>
          <w:sz w:val="20"/>
          <w:szCs w:val="20"/>
          <w:lang w:val="vi-VN"/>
        </w:rPr>
        <w:t xml:space="preserve">2020 của </w:t>
      </w:r>
      <w:r w:rsidRPr="00744B04">
        <w:rPr>
          <w:sz w:val="20"/>
          <w:szCs w:val="20"/>
        </w:rPr>
        <w:t>Thủ tướng Chính phủ</w:t>
      </w:r>
      <w:r w:rsidRPr="00744B04">
        <w:rPr>
          <w:sz w:val="20"/>
          <w:szCs w:val="20"/>
          <w:lang w:val="vi-VN"/>
        </w:rPr>
        <w:t xml:space="preserve"> về thành lập Hội đồng Y khoa quốc gia…</w:t>
      </w:r>
    </w:p>
    <w:p w:rsidR="002067D6" w:rsidRPr="00744B04" w:rsidRDefault="002067D6" w:rsidP="00744B04">
      <w:pPr>
        <w:jc w:val="both"/>
        <w:rPr>
          <w:iCs/>
          <w:sz w:val="20"/>
          <w:szCs w:val="20"/>
          <w:lang w:val="vi-VN"/>
        </w:rPr>
      </w:pPr>
      <w:r w:rsidRPr="00744B04">
        <w:rPr>
          <w:bCs/>
          <w:color w:val="000000"/>
          <w:sz w:val="20"/>
          <w:szCs w:val="20"/>
          <w:shd w:val="clear" w:color="auto" w:fill="FFFFFF"/>
        </w:rPr>
        <w:t xml:space="preserve">(x) </w:t>
      </w:r>
      <w:r w:rsidRPr="00744B04">
        <w:rPr>
          <w:bCs/>
          <w:color w:val="000000"/>
          <w:sz w:val="20"/>
          <w:szCs w:val="20"/>
          <w:shd w:val="clear" w:color="auto" w:fill="FFFFFF"/>
          <w:lang w:val="vi-VN"/>
        </w:rPr>
        <w:t xml:space="preserve">Hiệp hội Ngân hàng Việt Nam: </w:t>
      </w:r>
      <w:r w:rsidRPr="00744B04">
        <w:rPr>
          <w:bCs/>
          <w:color w:val="000000"/>
          <w:sz w:val="20"/>
          <w:szCs w:val="20"/>
          <w:shd w:val="clear" w:color="auto" w:fill="FFFFFF"/>
        </w:rPr>
        <w:t>T</w:t>
      </w:r>
      <w:r w:rsidRPr="00744B04">
        <w:rPr>
          <w:bCs/>
          <w:color w:val="000000"/>
          <w:sz w:val="20"/>
          <w:szCs w:val="20"/>
          <w:shd w:val="clear" w:color="auto" w:fill="FFFFFF"/>
          <w:lang w:val="vi-VN"/>
        </w:rPr>
        <w:t>ham gia ý kiến đối với 02 dự thảo Luật, 10 dự thảo Nghị định, 26 dự thảo Thông tư liên quan đến lĩnh vực đất đai, ngân hàng, bất động sản,....</w:t>
      </w:r>
    </w:p>
    <w:p w:rsidR="002067D6" w:rsidRPr="00744B04" w:rsidRDefault="002067D6" w:rsidP="00744B04">
      <w:pPr>
        <w:jc w:val="both"/>
        <w:rPr>
          <w:color w:val="000000" w:themeColor="text1"/>
          <w:sz w:val="20"/>
          <w:szCs w:val="20"/>
          <w:lang w:val="vi-VN"/>
        </w:rPr>
      </w:pPr>
      <w:r w:rsidRPr="00744B04">
        <w:rPr>
          <w:color w:val="000000" w:themeColor="text1"/>
          <w:sz w:val="20"/>
          <w:szCs w:val="20"/>
        </w:rPr>
        <w:t>(x</w:t>
      </w:r>
      <w:r w:rsidRPr="00744B04">
        <w:rPr>
          <w:color w:val="000000" w:themeColor="text1"/>
          <w:sz w:val="20"/>
          <w:szCs w:val="20"/>
          <w:lang w:val="vi-VN"/>
        </w:rPr>
        <w:t>i</w:t>
      </w:r>
      <w:r w:rsidRPr="00744B04">
        <w:rPr>
          <w:color w:val="000000" w:themeColor="text1"/>
          <w:sz w:val="20"/>
          <w:szCs w:val="20"/>
        </w:rPr>
        <w:t>) Hiệp hội Thương mại Anh quốc tại Việt Nam (</w:t>
      </w:r>
      <w:r w:rsidRPr="00744B04">
        <w:rPr>
          <w:color w:val="000000" w:themeColor="text1"/>
          <w:sz w:val="20"/>
          <w:szCs w:val="20"/>
          <w:lang w:val="vi-VN"/>
        </w:rPr>
        <w:t>BRITCHAM</w:t>
      </w:r>
      <w:r w:rsidRPr="00744B04">
        <w:rPr>
          <w:color w:val="000000" w:themeColor="text1"/>
          <w:sz w:val="20"/>
          <w:szCs w:val="20"/>
        </w:rPr>
        <w:t>)</w:t>
      </w:r>
      <w:r w:rsidRPr="00744B04">
        <w:rPr>
          <w:color w:val="000000" w:themeColor="text1"/>
          <w:sz w:val="20"/>
          <w:szCs w:val="20"/>
          <w:lang w:val="vi-VN"/>
        </w:rPr>
        <w:t xml:space="preserve">: </w:t>
      </w:r>
      <w:r w:rsidRPr="00744B04">
        <w:rPr>
          <w:color w:val="000000" w:themeColor="text1"/>
          <w:sz w:val="20"/>
          <w:szCs w:val="20"/>
        </w:rPr>
        <w:t>T</w:t>
      </w:r>
      <w:r w:rsidRPr="00744B04">
        <w:rPr>
          <w:color w:val="000000" w:themeColor="text1"/>
          <w:sz w:val="20"/>
          <w:szCs w:val="20"/>
          <w:lang w:val="vi-VN"/>
        </w:rPr>
        <w:t xml:space="preserve">ham gia góp ý đối với các dự thảo Luật Thuế giá trị gia tăng, dự thảo Nghị định về thành lập, quản lý và sử dụng Quỹ Hỗ trợ đầu tư,… </w:t>
      </w:r>
    </w:p>
    <w:p w:rsidR="002067D6" w:rsidRPr="00744B04" w:rsidRDefault="002067D6" w:rsidP="00744B04">
      <w:pPr>
        <w:jc w:val="both"/>
        <w:rPr>
          <w:iCs/>
          <w:sz w:val="20"/>
          <w:szCs w:val="20"/>
          <w:lang w:val="vi-VN"/>
        </w:rPr>
      </w:pPr>
      <w:r w:rsidRPr="00744B04">
        <w:rPr>
          <w:iCs/>
          <w:sz w:val="20"/>
          <w:szCs w:val="20"/>
          <w:lang w:val="vi-VN"/>
        </w:rPr>
        <w:t>(xii) Hiệp hội Chế biến và Xuất khẩu thủy sản Việt Nam (VASEP) đã tập hợp các kiến nghị của các doanh nghiệp ngành hàng để đưa ra các kiến nghị liên quan đến các lĩnh vực: thủy sản, thuế, lao động,…</w:t>
      </w:r>
    </w:p>
    <w:p w:rsidR="002067D6" w:rsidRPr="00744B04" w:rsidRDefault="002067D6" w:rsidP="00744B04">
      <w:pPr>
        <w:jc w:val="both"/>
        <w:rPr>
          <w:color w:val="000000" w:themeColor="text1"/>
          <w:sz w:val="20"/>
          <w:szCs w:val="20"/>
          <w:lang w:val="vi-VN"/>
        </w:rPr>
      </w:pPr>
      <w:r w:rsidRPr="00744B04">
        <w:rPr>
          <w:iCs/>
          <w:sz w:val="20"/>
          <w:szCs w:val="20"/>
          <w:lang w:val="vi-VN"/>
        </w:rPr>
        <w:t xml:space="preserve">(xiii) Hiệp hội doanh nghiệp châu Âu tại Việt Nam (EUROCHAM) tập trung </w:t>
      </w:r>
      <w:r w:rsidRPr="00744B04">
        <w:rPr>
          <w:color w:val="000000" w:themeColor="text1"/>
          <w:sz w:val="20"/>
          <w:szCs w:val="20"/>
        </w:rPr>
        <w:t>vào đề xuất các kiến</w:t>
      </w:r>
      <w:r w:rsidRPr="00744B04">
        <w:rPr>
          <w:color w:val="000000" w:themeColor="text1"/>
          <w:sz w:val="20"/>
          <w:szCs w:val="20"/>
          <w:lang w:val="vi-VN"/>
        </w:rPr>
        <w:t xml:space="preserve"> nghị liên quan đến các lĩnh vực: thuế, dược, lao động, năng lượng (điện) và trách nhiệm mở rộng của nhà sản xuất. </w:t>
      </w:r>
    </w:p>
  </w:footnote>
  <w:footnote w:id="29">
    <w:p w:rsidR="002067D6" w:rsidRPr="00744B04" w:rsidRDefault="002067D6" w:rsidP="00744B04">
      <w:pPr>
        <w:widowControl w:val="0"/>
        <w:snapToGrid w:val="0"/>
        <w:jc w:val="both"/>
        <w:rPr>
          <w:sz w:val="20"/>
          <w:szCs w:val="20"/>
        </w:rPr>
      </w:pPr>
      <w:r w:rsidRPr="00744B04">
        <w:rPr>
          <w:rStyle w:val="FootnoteReference"/>
          <w:sz w:val="20"/>
          <w:szCs w:val="20"/>
        </w:rPr>
        <w:footnoteRef/>
      </w:r>
      <w:r w:rsidRPr="00744B04">
        <w:rPr>
          <w:sz w:val="20"/>
          <w:szCs w:val="20"/>
        </w:rPr>
        <w:t xml:space="preserve"> Cụ thể như:</w:t>
      </w:r>
    </w:p>
    <w:p w:rsidR="002067D6" w:rsidRPr="00744B04" w:rsidRDefault="002067D6" w:rsidP="00744B04">
      <w:pPr>
        <w:widowControl w:val="0"/>
        <w:snapToGrid w:val="0"/>
        <w:jc w:val="both"/>
        <w:rPr>
          <w:sz w:val="20"/>
          <w:szCs w:val="20"/>
          <w:lang w:val="vi-VN"/>
        </w:rPr>
      </w:pPr>
      <w:r w:rsidRPr="00744B04">
        <w:rPr>
          <w:sz w:val="20"/>
          <w:szCs w:val="20"/>
        </w:rPr>
        <w:t xml:space="preserve">(i) </w:t>
      </w:r>
      <w:r w:rsidRPr="00744B04">
        <w:rPr>
          <w:sz w:val="20"/>
          <w:szCs w:val="20"/>
          <w:lang w:val="vi-VN"/>
        </w:rPr>
        <w:t>VCCI</w:t>
      </w:r>
      <w:r w:rsidRPr="00744B04">
        <w:rPr>
          <w:sz w:val="20"/>
          <w:szCs w:val="20"/>
        </w:rPr>
        <w:t>:</w:t>
      </w:r>
      <w:r w:rsidRPr="00744B04">
        <w:rPr>
          <w:rFonts w:eastAsiaTheme="minorEastAsia"/>
          <w:color w:val="000000" w:themeColor="text1"/>
          <w:sz w:val="20"/>
          <w:szCs w:val="20"/>
          <w:lang w:val="vi-VN"/>
        </w:rPr>
        <w:t xml:space="preserve"> t</w:t>
      </w:r>
      <w:r w:rsidRPr="00744B04">
        <w:rPr>
          <w:rFonts w:eastAsiaTheme="minorEastAsia"/>
          <w:color w:val="000000" w:themeColor="text1"/>
          <w:sz w:val="20"/>
          <w:szCs w:val="20"/>
        </w:rPr>
        <w:t>ổ chức Hội thảo “Luật Đất đai 2024 - Những nội dung quan trọng doanh nghiệp cần biết”</w:t>
      </w:r>
      <w:r w:rsidRPr="00744B04">
        <w:rPr>
          <w:rFonts w:eastAsiaTheme="minorEastAsia"/>
          <w:color w:val="000000" w:themeColor="text1"/>
          <w:sz w:val="20"/>
          <w:szCs w:val="20"/>
          <w:lang w:val="vi-VN"/>
        </w:rPr>
        <w:t xml:space="preserve">, </w:t>
      </w:r>
      <w:r w:rsidRPr="00744B04">
        <w:rPr>
          <w:sz w:val="20"/>
          <w:szCs w:val="20"/>
          <w:lang w:val="vi-VN"/>
        </w:rPr>
        <w:t>K</w:t>
      </w:r>
      <w:r w:rsidRPr="00744B04">
        <w:rPr>
          <w:sz w:val="20"/>
          <w:szCs w:val="20"/>
        </w:rPr>
        <w:t>hóa đào tạo “Quản trị doanh nghiệp thông minh để tăng năng suất chất lượng cho hoạt động sản xuất kinh doanh của doanh nghiệp”,</w:t>
      </w:r>
      <w:r w:rsidRPr="00744B04">
        <w:rPr>
          <w:sz w:val="20"/>
          <w:szCs w:val="20"/>
          <w:lang w:val="vi-VN"/>
        </w:rPr>
        <w:t xml:space="preserve"> “</w:t>
      </w:r>
      <w:r w:rsidRPr="00744B04">
        <w:rPr>
          <w:sz w:val="20"/>
          <w:szCs w:val="20"/>
        </w:rPr>
        <w:t xml:space="preserve">Cập nhật kiến thức pháp luật về thuế, Luật hỗ trợ </w:t>
      </w:r>
      <w:r w:rsidRPr="00744B04">
        <w:rPr>
          <w:sz w:val="20"/>
          <w:szCs w:val="20"/>
          <w:lang w:val="vi-VN"/>
        </w:rPr>
        <w:t xml:space="preserve">doanh nghiệp nhỏ và vừa, </w:t>
      </w:r>
      <w:r w:rsidRPr="00744B04">
        <w:rPr>
          <w:sz w:val="20"/>
          <w:szCs w:val="20"/>
        </w:rPr>
        <w:t xml:space="preserve">kiến thức </w:t>
      </w:r>
      <w:r w:rsidRPr="00744B04">
        <w:rPr>
          <w:sz w:val="20"/>
          <w:szCs w:val="20"/>
          <w:lang w:val="vi-VN"/>
        </w:rPr>
        <w:t>k</w:t>
      </w:r>
      <w:r w:rsidRPr="00744B04">
        <w:rPr>
          <w:sz w:val="20"/>
          <w:szCs w:val="20"/>
        </w:rPr>
        <w:t xml:space="preserve">ế toán </w:t>
      </w:r>
      <w:r w:rsidRPr="00744B04">
        <w:rPr>
          <w:sz w:val="20"/>
          <w:szCs w:val="20"/>
          <w:lang w:val="vi-VN"/>
        </w:rPr>
        <w:t>doanh nghiệp nhỏ và vừa</w:t>
      </w:r>
      <w:r w:rsidRPr="00744B04">
        <w:rPr>
          <w:sz w:val="20"/>
          <w:szCs w:val="20"/>
        </w:rPr>
        <w:t xml:space="preserve"> nhằm hỗ trợ</w:t>
      </w:r>
      <w:r w:rsidRPr="00744B04">
        <w:rPr>
          <w:sz w:val="20"/>
          <w:szCs w:val="20"/>
          <w:lang w:val="vi-VN"/>
        </w:rPr>
        <w:t xml:space="preserve"> doanh nghiệp</w:t>
      </w:r>
      <w:r w:rsidRPr="00744B04">
        <w:rPr>
          <w:sz w:val="20"/>
          <w:szCs w:val="20"/>
        </w:rPr>
        <w:t xml:space="preserve"> phục hồi và phát triển hoạt động </w:t>
      </w:r>
      <w:r w:rsidRPr="00744B04">
        <w:rPr>
          <w:sz w:val="20"/>
          <w:szCs w:val="20"/>
          <w:lang w:val="vi-VN"/>
        </w:rPr>
        <w:t>sản xuất kinh doanh</w:t>
      </w:r>
      <w:r w:rsidRPr="00744B04">
        <w:rPr>
          <w:sz w:val="20"/>
          <w:szCs w:val="20"/>
        </w:rPr>
        <w:t xml:space="preserve"> trong bối cảnh mới”</w:t>
      </w:r>
      <w:r w:rsidRPr="00744B04">
        <w:rPr>
          <w:sz w:val="20"/>
          <w:szCs w:val="20"/>
          <w:lang w:val="vi-VN"/>
        </w:rPr>
        <w:t>; Diễn đàn Chiến lược phát triển kinh tế tư nhân 2024; triển khai chương trình tham vấn doanh nghiệp trong thương mại quốc tế và các hoạt động hỗ trợ pháp lý cho doanh nghiệp rong phòng về thương mại; tư vấn, hỗ trợ doanh nghiệp, hiệp hội doanh nghiệp về chính sách hội nhập và cam kết liên quan đến các Hiệp định thương mại tự do (FTA) hiệu lực.</w:t>
      </w:r>
    </w:p>
    <w:p w:rsidR="002067D6" w:rsidRPr="00744B04" w:rsidRDefault="002067D6" w:rsidP="00744B04">
      <w:pPr>
        <w:widowControl w:val="0"/>
        <w:snapToGrid w:val="0"/>
        <w:jc w:val="both"/>
        <w:rPr>
          <w:sz w:val="20"/>
          <w:szCs w:val="20"/>
          <w:lang w:val="vi-VN"/>
        </w:rPr>
      </w:pPr>
      <w:r w:rsidRPr="00744B04">
        <w:rPr>
          <w:rStyle w:val="Strong"/>
          <w:b w:val="0"/>
          <w:color w:val="000000" w:themeColor="text1"/>
          <w:sz w:val="20"/>
          <w:szCs w:val="20"/>
          <w:shd w:val="clear" w:color="auto" w:fill="FFFFFF"/>
        </w:rPr>
        <w:t xml:space="preserve">(ii) </w:t>
      </w:r>
      <w:r w:rsidRPr="00744B04">
        <w:rPr>
          <w:rStyle w:val="Strong"/>
          <w:b w:val="0"/>
          <w:color w:val="000000" w:themeColor="text1"/>
          <w:sz w:val="20"/>
          <w:szCs w:val="20"/>
          <w:shd w:val="clear" w:color="auto" w:fill="FFFFFF"/>
          <w:lang w:val="vi-VN"/>
        </w:rPr>
        <w:t>Hội đồng các hiệp hội doanh nghiệp</w:t>
      </w:r>
      <w:r w:rsidRPr="00744B04">
        <w:rPr>
          <w:rStyle w:val="Strong"/>
          <w:b w:val="0"/>
          <w:color w:val="000000" w:themeColor="text1"/>
          <w:sz w:val="20"/>
          <w:szCs w:val="20"/>
          <w:shd w:val="clear" w:color="auto" w:fill="FFFFFF"/>
        </w:rPr>
        <w:t xml:space="preserve"> Đ</w:t>
      </w:r>
      <w:r w:rsidRPr="00744B04">
        <w:rPr>
          <w:rStyle w:val="Strong"/>
          <w:b w:val="0"/>
          <w:color w:val="000000" w:themeColor="text1"/>
          <w:sz w:val="20"/>
          <w:szCs w:val="20"/>
          <w:shd w:val="clear" w:color="auto" w:fill="FFFFFF"/>
          <w:lang w:val="vi-VN"/>
        </w:rPr>
        <w:t xml:space="preserve">ồng bằng </w:t>
      </w:r>
      <w:r w:rsidRPr="00744B04">
        <w:rPr>
          <w:rStyle w:val="Strong"/>
          <w:b w:val="0"/>
          <w:color w:val="000000" w:themeColor="text1"/>
          <w:sz w:val="20"/>
          <w:szCs w:val="20"/>
          <w:shd w:val="clear" w:color="auto" w:fill="FFFFFF"/>
        </w:rPr>
        <w:t>s</w:t>
      </w:r>
      <w:r w:rsidRPr="00744B04">
        <w:rPr>
          <w:rStyle w:val="Strong"/>
          <w:b w:val="0"/>
          <w:color w:val="000000" w:themeColor="text1"/>
          <w:sz w:val="20"/>
          <w:szCs w:val="20"/>
          <w:shd w:val="clear" w:color="auto" w:fill="FFFFFF"/>
          <w:lang w:val="vi-VN"/>
        </w:rPr>
        <w:t xml:space="preserve">ông Cửu Long: </w:t>
      </w:r>
      <w:r w:rsidRPr="00744B04">
        <w:rPr>
          <w:rStyle w:val="Strong"/>
          <w:b w:val="0"/>
          <w:color w:val="000000" w:themeColor="text1"/>
          <w:sz w:val="20"/>
          <w:szCs w:val="20"/>
          <w:shd w:val="clear" w:color="auto" w:fill="FFFFFF"/>
        </w:rPr>
        <w:t>T</w:t>
      </w:r>
      <w:r w:rsidRPr="00744B04">
        <w:rPr>
          <w:rStyle w:val="Strong"/>
          <w:b w:val="0"/>
          <w:color w:val="000000" w:themeColor="text1"/>
          <w:sz w:val="20"/>
          <w:szCs w:val="20"/>
          <w:shd w:val="clear" w:color="auto" w:fill="FFFFFF"/>
          <w:lang w:val="vi-VN"/>
        </w:rPr>
        <w:t xml:space="preserve">ổ chức thực hiện tốt việc thông tin về các </w:t>
      </w:r>
      <w:r w:rsidRPr="00744B04">
        <w:rPr>
          <w:rStyle w:val="Strong"/>
          <w:b w:val="0"/>
          <w:color w:val="000000" w:themeColor="text1"/>
          <w:sz w:val="20"/>
          <w:szCs w:val="20"/>
          <w:shd w:val="clear" w:color="auto" w:fill="FFFFFF"/>
        </w:rPr>
        <w:t>VB</w:t>
      </w:r>
      <w:r w:rsidRPr="00744B04">
        <w:rPr>
          <w:rStyle w:val="Strong"/>
          <w:b w:val="0"/>
          <w:color w:val="000000" w:themeColor="text1"/>
          <w:sz w:val="20"/>
          <w:szCs w:val="20"/>
          <w:shd w:val="clear" w:color="auto" w:fill="FFFFFF"/>
          <w:lang w:val="vi-VN"/>
        </w:rPr>
        <w:t>QPPL, thông tin kinh tế - chính trị - xã hội, kiến thức kinh doanh,…</w:t>
      </w:r>
      <w:r w:rsidRPr="00744B04">
        <w:rPr>
          <w:rStyle w:val="Strong"/>
          <w:b w:val="0"/>
          <w:color w:val="000000" w:themeColor="text1"/>
          <w:sz w:val="20"/>
          <w:szCs w:val="20"/>
          <w:shd w:val="clear" w:color="auto" w:fill="FFFFFF"/>
        </w:rPr>
        <w:t xml:space="preserve"> </w:t>
      </w:r>
      <w:r w:rsidRPr="00744B04">
        <w:rPr>
          <w:rStyle w:val="Strong"/>
          <w:b w:val="0"/>
          <w:color w:val="000000" w:themeColor="text1"/>
          <w:sz w:val="20"/>
          <w:szCs w:val="20"/>
          <w:shd w:val="clear" w:color="auto" w:fill="FFFFFF"/>
          <w:lang w:val="vi-VN"/>
        </w:rPr>
        <w:t xml:space="preserve">tới các doanh nghiệp hội viên; phối hợp tổ chức “Hội nghị phổ biến Hiệp định thương mại mới dành cho các doanh nghiệp tỉnh Cà Mau và các đơn vị khác có liên quan”, </w:t>
      </w:r>
      <w:r w:rsidRPr="00744B04">
        <w:rPr>
          <w:color w:val="000000" w:themeColor="text1"/>
          <w:sz w:val="20"/>
          <w:szCs w:val="20"/>
        </w:rPr>
        <w:t>tổ chức sự kiện “Chuyển dịch xanh: thách thức, cơ hội cho doanh nghiệp ĐBSCL và giải pháp hỗ trợ doanh nghiệp”</w:t>
      </w:r>
      <w:r w:rsidRPr="00744B04">
        <w:rPr>
          <w:color w:val="000000" w:themeColor="text1"/>
          <w:sz w:val="20"/>
          <w:szCs w:val="20"/>
          <w:lang w:val="vi-VN"/>
        </w:rPr>
        <w:t>,</w:t>
      </w:r>
      <w:r w:rsidRPr="00744B04">
        <w:rPr>
          <w:sz w:val="20"/>
          <w:szCs w:val="20"/>
        </w:rPr>
        <w:t xml:space="preserve"> hội nghị họp mặt hội viên trong Kinh tế Việt Nam 2023 </w:t>
      </w:r>
      <w:r w:rsidRPr="00744B04">
        <w:rPr>
          <w:sz w:val="20"/>
          <w:szCs w:val="20"/>
          <w:lang w:val="vi-VN"/>
        </w:rPr>
        <w:t>-</w:t>
      </w:r>
      <w:r w:rsidRPr="00744B04">
        <w:rPr>
          <w:sz w:val="20"/>
          <w:szCs w:val="20"/>
        </w:rPr>
        <w:t xml:space="preserve"> </w:t>
      </w:r>
      <w:r w:rsidRPr="00744B04">
        <w:rPr>
          <w:sz w:val="20"/>
          <w:szCs w:val="20"/>
          <w:lang w:val="vi-VN"/>
        </w:rPr>
        <w:t>“</w:t>
      </w:r>
      <w:r w:rsidRPr="00744B04">
        <w:rPr>
          <w:sz w:val="20"/>
          <w:szCs w:val="20"/>
        </w:rPr>
        <w:t>Nhận diện thách thức và triển vọng phát triển nhìn từ tác động của Luật Đất đai 2024”</w:t>
      </w:r>
      <w:r w:rsidRPr="00744B04">
        <w:rPr>
          <w:sz w:val="20"/>
          <w:szCs w:val="20"/>
          <w:lang w:val="vi-VN"/>
        </w:rPr>
        <w:t>;….</w:t>
      </w:r>
    </w:p>
    <w:p w:rsidR="002067D6" w:rsidRPr="00744B04" w:rsidRDefault="002067D6" w:rsidP="00744B04">
      <w:pPr>
        <w:widowControl w:val="0"/>
        <w:snapToGrid w:val="0"/>
        <w:jc w:val="both"/>
        <w:rPr>
          <w:sz w:val="20"/>
          <w:szCs w:val="20"/>
          <w:lang w:val="vi-VN"/>
        </w:rPr>
      </w:pPr>
      <w:r w:rsidRPr="00744B04">
        <w:rPr>
          <w:sz w:val="20"/>
          <w:szCs w:val="20"/>
        </w:rPr>
        <w:t xml:space="preserve">(iii) </w:t>
      </w:r>
      <w:r w:rsidRPr="00744B04">
        <w:rPr>
          <w:sz w:val="20"/>
          <w:szCs w:val="20"/>
          <w:lang w:val="vi-VN"/>
        </w:rPr>
        <w:t xml:space="preserve">Hiệp hội Ngân hàng Việt Nam: Thường xuyên phối hợp với các đơn vị liên quan tổ chức các cuộc họp, hội nghị, hội thảo, tọa đảm nhằm góp ý, phổ biến cơ chế chính sách và sản phẩm, dịch vụ mới cũng như kinh nghiệm quốc tế cho các tổ chức hội viên, như: </w:t>
      </w:r>
      <w:r w:rsidRPr="00744B04">
        <w:rPr>
          <w:bCs/>
          <w:color w:val="000000"/>
          <w:sz w:val="20"/>
          <w:szCs w:val="20"/>
          <w:shd w:val="clear" w:color="auto" w:fill="FFFFFF"/>
        </w:rPr>
        <w:t>C</w:t>
      </w:r>
      <w:r w:rsidRPr="00744B04">
        <w:rPr>
          <w:bCs/>
          <w:color w:val="000000"/>
          <w:sz w:val="20"/>
          <w:szCs w:val="20"/>
          <w:shd w:val="clear" w:color="auto" w:fill="FFFFFF"/>
          <w:lang w:val="vi-VN"/>
        </w:rPr>
        <w:t xml:space="preserve">uộc họp với Ngân hàng Nhà nước và một số ngân hàng hội viên, Nhóm công tác ngân hàng để trao đổi, thống nhất ý kiến và kiến nghị về Thuế Giá trị gia tăng đối với nghiệp vụ L/C; làm việc với Bộ Công </w:t>
      </w:r>
      <w:r w:rsidRPr="00744B04">
        <w:rPr>
          <w:bCs/>
          <w:color w:val="000000"/>
          <w:sz w:val="20"/>
          <w:szCs w:val="20"/>
          <w:shd w:val="clear" w:color="auto" w:fill="FFFFFF"/>
        </w:rPr>
        <w:t>T</w:t>
      </w:r>
      <w:r w:rsidRPr="00744B04">
        <w:rPr>
          <w:bCs/>
          <w:color w:val="000000"/>
          <w:sz w:val="20"/>
          <w:szCs w:val="20"/>
          <w:shd w:val="clear" w:color="auto" w:fill="FFFFFF"/>
          <w:lang w:val="vi-VN"/>
        </w:rPr>
        <w:t>hương về gói tín dụng hỗ trợ các doanh nghiệp tiếp cận FTA; tổ chức tọa đàm với chủ đề “Một số quy định mới của Luật Đất đai 2024,... và góp ý các dự thảo Nghị định quy định chi tiết thi hành Luật Đất đai liên quan đến hoạt động ngân hàng”; tích cực truyền thông về các hoạt động cải cách TTHC của Chính phủ, Hội đồng tư vấn và ngành ngân hàng.</w:t>
      </w:r>
    </w:p>
    <w:p w:rsidR="002067D6" w:rsidRPr="00744B04" w:rsidRDefault="002067D6" w:rsidP="00744B04">
      <w:pPr>
        <w:widowControl w:val="0"/>
        <w:snapToGrid w:val="0"/>
        <w:jc w:val="both"/>
        <w:rPr>
          <w:sz w:val="20"/>
          <w:szCs w:val="20"/>
          <w:lang w:val="vi-VN"/>
        </w:rPr>
      </w:pPr>
      <w:r w:rsidRPr="00744B04">
        <w:rPr>
          <w:rStyle w:val="Strong"/>
          <w:b w:val="0"/>
          <w:color w:val="000000"/>
          <w:sz w:val="20"/>
          <w:szCs w:val="20"/>
          <w:shd w:val="clear" w:color="auto" w:fill="FFFFFF"/>
        </w:rPr>
        <w:t xml:space="preserve">(iv) </w:t>
      </w:r>
      <w:r w:rsidRPr="00744B04">
        <w:rPr>
          <w:rStyle w:val="Strong"/>
          <w:b w:val="0"/>
          <w:color w:val="000000"/>
          <w:sz w:val="20"/>
          <w:szCs w:val="20"/>
          <w:shd w:val="clear" w:color="auto" w:fill="FFFFFF"/>
          <w:lang w:val="vi-VN"/>
        </w:rPr>
        <w:t xml:space="preserve">BRITCHAM: </w:t>
      </w:r>
      <w:r w:rsidRPr="00744B04">
        <w:rPr>
          <w:sz w:val="20"/>
          <w:szCs w:val="20"/>
        </w:rPr>
        <w:t>Đồng chủ tịch cùng VCCI tại Diễn đàn Doanh nghiệp Việt Nam (VBF) thường niên với chủ đề “Doanh nghiệp FDI tiên phong thực hiện chiến lược tăng trưởng xanh”</w:t>
      </w:r>
      <w:r w:rsidRPr="00744B04">
        <w:rPr>
          <w:sz w:val="20"/>
          <w:szCs w:val="20"/>
          <w:lang w:val="vi-VN"/>
        </w:rPr>
        <w:t>; t</w:t>
      </w:r>
      <w:r w:rsidRPr="00744B04">
        <w:rPr>
          <w:sz w:val="20"/>
          <w:szCs w:val="20"/>
        </w:rPr>
        <w:t>ham gia các cuộc hội thảo, hội nghị, gặp mặt tham vấn chính sách cùng các cơ quan Chính phủ</w:t>
      </w:r>
      <w:r w:rsidRPr="00744B04">
        <w:rPr>
          <w:sz w:val="20"/>
          <w:szCs w:val="20"/>
          <w:lang w:val="vi-VN"/>
        </w:rPr>
        <w:t>, c</w:t>
      </w:r>
      <w:r w:rsidRPr="00744B04">
        <w:rPr>
          <w:sz w:val="20"/>
          <w:szCs w:val="20"/>
        </w:rPr>
        <w:t>ác buổi workshop phổ biến kiến thức, quảng bá thương mại giữa Việt Nam - UK</w:t>
      </w:r>
      <w:r w:rsidRPr="00744B04">
        <w:rPr>
          <w:sz w:val="20"/>
          <w:szCs w:val="20"/>
          <w:lang w:val="vi-VN"/>
        </w:rPr>
        <w:t>.</w:t>
      </w:r>
    </w:p>
    <w:p w:rsidR="002067D6" w:rsidRPr="00744B04" w:rsidRDefault="002067D6" w:rsidP="00744B04">
      <w:pPr>
        <w:widowControl w:val="0"/>
        <w:snapToGrid w:val="0"/>
        <w:jc w:val="both"/>
        <w:rPr>
          <w:spacing w:val="-2"/>
          <w:sz w:val="20"/>
          <w:szCs w:val="20"/>
          <w:lang w:val="vi-VN"/>
        </w:rPr>
      </w:pPr>
      <w:r w:rsidRPr="00744B04">
        <w:rPr>
          <w:spacing w:val="-2"/>
          <w:sz w:val="20"/>
          <w:szCs w:val="20"/>
          <w:lang w:val="vi-VN"/>
        </w:rPr>
        <w:t xml:space="preserve">(v) VASEP: tổ chức 03 khóa tập huấn “Kiểm kê khí nhà kính và các giải pháp xanh hóa sản xuất ngành thủy sản”, tập huấn “Hướng dẫn thực hiện triển khai Hệ thống phần mềm truy xuất nguồn gốc thủy sản điện tử (eCDT) và tập huấn “Nâng cao năng lực hoạt động tư vấn và phản biện chính sách” cho các hội/hiệp hội doanh nghiệp ngành hàng. </w:t>
      </w:r>
    </w:p>
  </w:footnote>
  <w:footnote w:id="30">
    <w:p w:rsidR="002067D6" w:rsidRPr="00744B04" w:rsidRDefault="002067D6" w:rsidP="00744B04">
      <w:pPr>
        <w:jc w:val="both"/>
        <w:rPr>
          <w:color w:val="000000" w:themeColor="text1"/>
          <w:sz w:val="20"/>
          <w:szCs w:val="20"/>
          <w:lang w:val="vi-VN"/>
        </w:rPr>
      </w:pPr>
      <w:r w:rsidRPr="00744B04">
        <w:rPr>
          <w:rStyle w:val="FootnoteReference"/>
          <w:color w:val="000000" w:themeColor="text1"/>
          <w:sz w:val="20"/>
          <w:szCs w:val="20"/>
        </w:rPr>
        <w:footnoteRef/>
      </w:r>
      <w:r w:rsidRPr="00744B04">
        <w:rPr>
          <w:color w:val="000000" w:themeColor="text1"/>
          <w:sz w:val="20"/>
          <w:szCs w:val="20"/>
        </w:rPr>
        <w:t xml:space="preserve"> Các Ban công tác, thành viên Hội đồng tư vấn tổng hợp, gửi PANK như</w:t>
      </w:r>
      <w:r w:rsidRPr="00744B04">
        <w:rPr>
          <w:color w:val="000000" w:themeColor="text1"/>
          <w:sz w:val="20"/>
          <w:szCs w:val="20"/>
          <w:lang w:val="vi-VN"/>
        </w:rPr>
        <w:t xml:space="preserve">: </w:t>
      </w:r>
      <w:r w:rsidRPr="00744B04">
        <w:rPr>
          <w:rFonts w:eastAsia="Calibri"/>
          <w:color w:val="000000" w:themeColor="text1"/>
          <w:sz w:val="20"/>
          <w:szCs w:val="20"/>
        </w:rPr>
        <w:t>Ban I, Ban II, Ban IV; Liên đoàn Thương mại và Công nghiệp Việt Nam, Hiệp hội Chế biến và Xuất khẩu thủy sản Việt Nam</w:t>
      </w:r>
      <w:r w:rsidRPr="00744B04">
        <w:rPr>
          <w:rFonts w:eastAsia="Calibri"/>
          <w:color w:val="000000" w:themeColor="text1"/>
          <w:sz w:val="20"/>
          <w:szCs w:val="20"/>
          <w:lang w:val="vi-VN"/>
        </w:rPr>
        <w:t>,</w:t>
      </w:r>
      <w:r w:rsidRPr="00744B04">
        <w:rPr>
          <w:rFonts w:eastAsia="Calibri"/>
          <w:color w:val="000000" w:themeColor="text1"/>
          <w:sz w:val="20"/>
          <w:szCs w:val="20"/>
        </w:rPr>
        <w:t xml:space="preserve"> Hiệp hội Dệt may Việt Nam</w:t>
      </w:r>
      <w:r w:rsidRPr="00744B04">
        <w:rPr>
          <w:rFonts w:eastAsia="Calibri"/>
          <w:color w:val="000000" w:themeColor="text1"/>
          <w:sz w:val="20"/>
          <w:szCs w:val="20"/>
          <w:lang w:val="vi-VN"/>
        </w:rPr>
        <w:t xml:space="preserve">, </w:t>
      </w:r>
      <w:r w:rsidRPr="00744B04">
        <w:rPr>
          <w:rFonts w:eastAsia="Calibri"/>
          <w:color w:val="000000" w:themeColor="text1"/>
          <w:sz w:val="20"/>
          <w:szCs w:val="20"/>
        </w:rPr>
        <w:t>Hiệp hội Du lịch Việt Nam</w:t>
      </w:r>
      <w:r w:rsidRPr="00744B04">
        <w:rPr>
          <w:rFonts w:eastAsia="Calibri"/>
          <w:color w:val="000000" w:themeColor="text1"/>
          <w:sz w:val="20"/>
          <w:szCs w:val="20"/>
          <w:lang w:val="vi-VN"/>
        </w:rPr>
        <w:t>,</w:t>
      </w:r>
      <w:r w:rsidRPr="00744B04">
        <w:rPr>
          <w:rFonts w:eastAsia="Calibri"/>
          <w:color w:val="000000" w:themeColor="text1"/>
          <w:sz w:val="20"/>
          <w:szCs w:val="20"/>
        </w:rPr>
        <w:t xml:space="preserve"> Hiệp hội Ngân hàng Việt Nam</w:t>
      </w:r>
      <w:r w:rsidRPr="00744B04">
        <w:rPr>
          <w:rFonts w:eastAsia="Calibri"/>
          <w:color w:val="000000" w:themeColor="text1"/>
          <w:sz w:val="20"/>
          <w:szCs w:val="20"/>
          <w:lang w:val="vi-VN"/>
        </w:rPr>
        <w:t>,</w:t>
      </w:r>
      <w:r w:rsidRPr="00744B04">
        <w:rPr>
          <w:rFonts w:eastAsia="Calibri"/>
          <w:color w:val="000000" w:themeColor="text1"/>
          <w:sz w:val="20"/>
          <w:szCs w:val="20"/>
        </w:rPr>
        <w:t xml:space="preserve"> </w:t>
      </w:r>
      <w:r w:rsidRPr="00744B04">
        <w:rPr>
          <w:rFonts w:eastAsia="Calibri"/>
          <w:color w:val="000000" w:themeColor="text1"/>
          <w:sz w:val="20"/>
          <w:szCs w:val="20"/>
          <w:lang w:val="vi-VN"/>
        </w:rPr>
        <w:t xml:space="preserve">Hiệp hội Bệnh viện tư nhân Việt Nam, Hiệp hội doanh nghiệp Dược Việt Nam, </w:t>
      </w:r>
      <w:r w:rsidRPr="00744B04">
        <w:rPr>
          <w:rFonts w:eastAsia="Calibri"/>
          <w:color w:val="000000" w:themeColor="text1"/>
          <w:sz w:val="20"/>
          <w:szCs w:val="20"/>
        </w:rPr>
        <w:t>Hiệp hội doanh nghiệp châu Âu tại Việt Nam</w:t>
      </w:r>
      <w:r w:rsidRPr="00744B04">
        <w:rPr>
          <w:rFonts w:eastAsia="Calibri"/>
          <w:color w:val="000000" w:themeColor="text1"/>
          <w:sz w:val="20"/>
          <w:szCs w:val="20"/>
          <w:lang w:val="vi-VN"/>
        </w:rPr>
        <w:t>,</w:t>
      </w:r>
      <w:r w:rsidRPr="00744B04">
        <w:rPr>
          <w:rFonts w:eastAsia="Calibri"/>
          <w:color w:val="000000" w:themeColor="text1"/>
          <w:sz w:val="20"/>
          <w:szCs w:val="20"/>
        </w:rPr>
        <w:t xml:space="preserve"> Hiệp hội doanh nghiệp Nhật Bản tại Việt Nam</w:t>
      </w:r>
      <w:r w:rsidRPr="00744B04">
        <w:rPr>
          <w:rFonts w:eastAsia="Calibri"/>
          <w:color w:val="000000" w:themeColor="text1"/>
          <w:sz w:val="20"/>
          <w:szCs w:val="20"/>
          <w:lang w:val="vi-VN"/>
        </w:rPr>
        <w:t>, Hội Doanh nhân trẻ Việt Nam</w:t>
      </w:r>
      <w:r w:rsidRPr="00744B04">
        <w:rPr>
          <w:rFonts w:eastAsia="Calibri"/>
          <w:color w:val="000000" w:themeColor="text1"/>
          <w:sz w:val="20"/>
          <w:szCs w:val="20"/>
        </w:rPr>
        <w:t>…</w:t>
      </w:r>
      <w:r w:rsidRPr="00744B04">
        <w:rPr>
          <w:color w:val="000000" w:themeColor="text1"/>
          <w:sz w:val="20"/>
          <w:szCs w:val="20"/>
          <w:lang w:val="vi-VN"/>
        </w:rPr>
        <w:t xml:space="preserve"> </w:t>
      </w:r>
    </w:p>
  </w:footnote>
  <w:footnote w:id="31">
    <w:p w:rsidR="002067D6" w:rsidRPr="00744B04" w:rsidRDefault="002067D6" w:rsidP="00744B04">
      <w:pPr>
        <w:widowControl w:val="0"/>
        <w:snapToGrid w:val="0"/>
        <w:jc w:val="both"/>
        <w:rPr>
          <w:sz w:val="20"/>
          <w:szCs w:val="20"/>
        </w:rPr>
      </w:pPr>
      <w:r w:rsidRPr="00744B04">
        <w:rPr>
          <w:rStyle w:val="FootnoteReference"/>
          <w:sz w:val="20"/>
          <w:szCs w:val="20"/>
        </w:rPr>
        <w:footnoteRef/>
      </w:r>
      <w:r w:rsidRPr="00744B04">
        <w:rPr>
          <w:sz w:val="20"/>
          <w:szCs w:val="20"/>
        </w:rPr>
        <w:t xml:space="preserve"> Cụ thể như: </w:t>
      </w:r>
    </w:p>
    <w:p w:rsidR="002067D6" w:rsidRPr="00744B04" w:rsidRDefault="002067D6" w:rsidP="00744B04">
      <w:pPr>
        <w:widowControl w:val="0"/>
        <w:snapToGrid w:val="0"/>
        <w:jc w:val="both"/>
        <w:rPr>
          <w:sz w:val="20"/>
          <w:szCs w:val="20"/>
          <w:lang w:val="vi-VN"/>
        </w:rPr>
      </w:pPr>
      <w:r w:rsidRPr="00744B04">
        <w:rPr>
          <w:sz w:val="20"/>
          <w:szCs w:val="20"/>
        </w:rPr>
        <w:t xml:space="preserve">(i) </w:t>
      </w:r>
      <w:r w:rsidRPr="00744B04">
        <w:rPr>
          <w:sz w:val="20"/>
          <w:szCs w:val="20"/>
          <w:lang w:val="vi-VN"/>
        </w:rPr>
        <w:t>CIEM: tổ chức tọa đàm “Trao đổi với các hiệp hội doanh nghiệp về môi trường kinh doanh và những vướng mắc, bất cập”.</w:t>
      </w:r>
    </w:p>
    <w:p w:rsidR="002067D6" w:rsidRPr="00744B04" w:rsidRDefault="002067D6" w:rsidP="00744B04">
      <w:pPr>
        <w:widowControl w:val="0"/>
        <w:snapToGrid w:val="0"/>
        <w:jc w:val="both"/>
        <w:rPr>
          <w:rStyle w:val="Strong"/>
          <w:b w:val="0"/>
          <w:color w:val="000000"/>
          <w:sz w:val="20"/>
          <w:szCs w:val="20"/>
          <w:shd w:val="clear" w:color="auto" w:fill="FFFFFF"/>
          <w:lang w:val="vi-VN"/>
        </w:rPr>
      </w:pPr>
      <w:r w:rsidRPr="00744B04">
        <w:rPr>
          <w:sz w:val="20"/>
          <w:szCs w:val="20"/>
          <w:lang w:val="en-US"/>
        </w:rPr>
        <w:t xml:space="preserve">(ii) </w:t>
      </w:r>
      <w:r w:rsidRPr="00744B04">
        <w:rPr>
          <w:sz w:val="20"/>
          <w:szCs w:val="20"/>
          <w:lang w:val="vi-VN"/>
        </w:rPr>
        <w:t xml:space="preserve">Hiệp hội doanh nghiệp nhỏ và vừaViệt Nam (VINASME): </w:t>
      </w:r>
      <w:r w:rsidRPr="00744B04">
        <w:rPr>
          <w:rStyle w:val="st"/>
          <w:sz w:val="20"/>
          <w:szCs w:val="20"/>
        </w:rPr>
        <w:t>Phối hợp với Bộ Tư pháp tổ chức</w:t>
      </w:r>
      <w:r w:rsidRPr="00744B04">
        <w:rPr>
          <w:rStyle w:val="st"/>
          <w:sz w:val="20"/>
          <w:szCs w:val="20"/>
          <w:lang w:val="vi-VN"/>
        </w:rPr>
        <w:t xml:space="preserve"> </w:t>
      </w:r>
      <w:r w:rsidRPr="00744B04">
        <w:rPr>
          <w:rStyle w:val="st"/>
          <w:sz w:val="20"/>
          <w:szCs w:val="20"/>
        </w:rPr>
        <w:t>nhiều</w:t>
      </w:r>
      <w:r w:rsidRPr="00744B04">
        <w:rPr>
          <w:rStyle w:val="st"/>
          <w:sz w:val="20"/>
          <w:szCs w:val="20"/>
          <w:lang w:val="vi-VN"/>
        </w:rPr>
        <w:t xml:space="preserve"> hội thảo, đối thoại chuyên sâu về pháp luật kinh doanh thuộc Chương trình hỗ trợ pháp lý liên ngành dành cho doanh nghiệp nhỏ và vừa; </w:t>
      </w:r>
      <w:r w:rsidRPr="00744B04">
        <w:rPr>
          <w:rStyle w:val="Strong"/>
          <w:b w:val="0"/>
          <w:color w:val="000000"/>
          <w:sz w:val="20"/>
          <w:szCs w:val="20"/>
          <w:shd w:val="clear" w:color="auto" w:fill="FFFFFF"/>
        </w:rPr>
        <w:t>phối hợp với Cục Thương mại Điện tử và Kinh tế số - Bộ Công Thương triển khai chương trình hợp tác hỗ trợ doanh nghiệp khai thác EVFTA bằng nền tảng thương mại điện tử</w:t>
      </w:r>
      <w:r w:rsidRPr="00744B04">
        <w:rPr>
          <w:rStyle w:val="Strong"/>
          <w:b w:val="0"/>
          <w:color w:val="000000"/>
          <w:sz w:val="20"/>
          <w:szCs w:val="20"/>
          <w:shd w:val="clear" w:color="auto" w:fill="FFFFFF"/>
          <w:lang w:val="vi-VN"/>
        </w:rPr>
        <w:t>; ký kết thỏa thuận hợp tác với Bộ Kế hoạch và Đầu tư thực hiện Đề án Nâng tầm tri thức cho doanh nghiệp nhỏ và vừa; tổng hợp nhiều PAKN của các doanh nghiệp hội viên về các lĩnh vực: thuế, lao động nước ngoài, điện, an ninh mạng và bảo vệ dữ liệu doanh nghiệp, kinh tế xanh, kinh tế tuần hoàn, thương mại điện tử,… chuyển các bộ, ngành liên quan nghiên cứu, xử lý.</w:t>
      </w:r>
    </w:p>
    <w:p w:rsidR="002067D6" w:rsidRPr="00744B04" w:rsidRDefault="002067D6" w:rsidP="00744B04">
      <w:pPr>
        <w:widowControl w:val="0"/>
        <w:snapToGrid w:val="0"/>
        <w:jc w:val="both"/>
        <w:rPr>
          <w:bCs/>
          <w:color w:val="000000"/>
          <w:sz w:val="20"/>
          <w:szCs w:val="20"/>
          <w:shd w:val="clear" w:color="auto" w:fill="FFFFFF"/>
          <w:lang w:val="vi-VN"/>
        </w:rPr>
      </w:pPr>
      <w:r w:rsidRPr="00744B04">
        <w:rPr>
          <w:sz w:val="20"/>
          <w:szCs w:val="20"/>
        </w:rPr>
        <w:t xml:space="preserve">(iii) </w:t>
      </w:r>
      <w:r w:rsidRPr="00744B04">
        <w:rPr>
          <w:sz w:val="20"/>
          <w:szCs w:val="20"/>
          <w:lang w:val="vi-VN"/>
        </w:rPr>
        <w:t xml:space="preserve">Hiệp hội doanh nghiệp Nhật Bản tại Việt Nam (JCCI): </w:t>
      </w:r>
      <w:r w:rsidRPr="00744B04">
        <w:rPr>
          <w:sz w:val="20"/>
          <w:szCs w:val="20"/>
        </w:rPr>
        <w:t>T</w:t>
      </w:r>
      <w:r w:rsidRPr="00744B04">
        <w:rPr>
          <w:sz w:val="20"/>
          <w:szCs w:val="20"/>
          <w:lang w:val="vi-VN"/>
        </w:rPr>
        <w:t>ổ chức đối thoại định kỳ với Tổng Cục Hải quan</w:t>
      </w:r>
      <w:r w:rsidRPr="00744B04">
        <w:rPr>
          <w:sz w:val="20"/>
          <w:szCs w:val="20"/>
        </w:rPr>
        <w:t>, Bộ Tài chính</w:t>
      </w:r>
      <w:r w:rsidRPr="00744B04">
        <w:rPr>
          <w:sz w:val="20"/>
          <w:szCs w:val="20"/>
          <w:lang w:val="vi-VN"/>
        </w:rPr>
        <w:t xml:space="preserve"> để giải quyết các khó khăn, vướng mắc cho doanh nghiệp Nhật Bản. </w:t>
      </w:r>
    </w:p>
    <w:p w:rsidR="002067D6" w:rsidRPr="00744B04" w:rsidRDefault="002067D6" w:rsidP="00744B04">
      <w:pPr>
        <w:widowControl w:val="0"/>
        <w:snapToGrid w:val="0"/>
        <w:jc w:val="both"/>
        <w:rPr>
          <w:sz w:val="20"/>
          <w:szCs w:val="20"/>
          <w:lang w:val="vi-VN"/>
        </w:rPr>
      </w:pPr>
      <w:r w:rsidRPr="00744B04">
        <w:rPr>
          <w:bCs/>
          <w:color w:val="000000"/>
          <w:sz w:val="20"/>
          <w:szCs w:val="20"/>
          <w:shd w:val="clear" w:color="auto" w:fill="FFFFFF"/>
        </w:rPr>
        <w:t xml:space="preserve">(iv) </w:t>
      </w:r>
      <w:r w:rsidRPr="00744B04">
        <w:rPr>
          <w:bCs/>
          <w:color w:val="000000"/>
          <w:sz w:val="20"/>
          <w:szCs w:val="20"/>
          <w:shd w:val="clear" w:color="auto" w:fill="FFFFFF"/>
          <w:lang w:val="vi-VN"/>
        </w:rPr>
        <w:t xml:space="preserve">Phòng Xúc tiến và đầu tư thương mại Hàn Quốc tại Hà Nội (KOTRA): </w:t>
      </w:r>
      <w:r w:rsidRPr="00744B04">
        <w:rPr>
          <w:sz w:val="20"/>
          <w:szCs w:val="20"/>
          <w:lang w:val="vi-VN"/>
        </w:rPr>
        <w:t xml:space="preserve">Tổ chức tọa đàm đối thoại chính sách với các doanh nghiệp Hàn Quốc về khởi nghiệp tại Việt Nam, trong đó có các vấn đề liên quan đến thủ tục đầu tư, quy định pháp lý đầu tư v.v…; phối hợp </w:t>
      </w:r>
      <w:r w:rsidRPr="00744B04">
        <w:rPr>
          <w:sz w:val="20"/>
          <w:szCs w:val="20"/>
        </w:rPr>
        <w:t>với</w:t>
      </w:r>
      <w:r w:rsidRPr="00744B04">
        <w:rPr>
          <w:sz w:val="20"/>
          <w:szCs w:val="20"/>
          <w:lang w:val="vi-VN"/>
        </w:rPr>
        <w:t xml:space="preserve"> Đại sứ quán Hàn Quốc tại Việt Nam và các hiệp hội doanh nghiệp Hàn Quốc tổ chức các buổi đối thoại để lắng nghe ý kiến và hỗ trợ các vấn đề về đầu tư kinh doanh cho các doanh nghiệp Hàn Quốc tại Việt Nam, tổ chức đoàn công tác làm việc tại từng địa phương nhằm trao đổi các khó khăn, vướng mắc của doanh nghiệp với lãnh đạo các sở, ban, ngành.</w:t>
      </w:r>
    </w:p>
    <w:p w:rsidR="002067D6" w:rsidRPr="00744B04" w:rsidRDefault="002067D6" w:rsidP="00744B04">
      <w:pPr>
        <w:widowControl w:val="0"/>
        <w:snapToGrid w:val="0"/>
        <w:jc w:val="both"/>
        <w:rPr>
          <w:bCs/>
          <w:color w:val="000000"/>
          <w:sz w:val="20"/>
          <w:szCs w:val="20"/>
          <w:shd w:val="clear" w:color="auto" w:fill="FFFFFF"/>
          <w:lang w:val="vi-VN"/>
        </w:rPr>
      </w:pPr>
      <w:r w:rsidRPr="00744B04">
        <w:rPr>
          <w:bCs/>
          <w:color w:val="000000"/>
          <w:sz w:val="20"/>
          <w:szCs w:val="20"/>
          <w:shd w:val="clear" w:color="auto" w:fill="FFFFFF"/>
          <w:lang w:val="vi-VN"/>
        </w:rPr>
        <w:t xml:space="preserve">(v) VCCI: tổ chức công bố Báo cáo Dòng chảy pháp luật kinh doanh năm 2023 (ngày 25/4/2024); Báo cáo Chỉ số năng lực cạnh tranh cấp tỉnh (PCI) thường niên;   </w:t>
      </w:r>
    </w:p>
    <w:p w:rsidR="002067D6" w:rsidRPr="00744B04" w:rsidRDefault="002067D6" w:rsidP="00744B04">
      <w:pPr>
        <w:widowControl w:val="0"/>
        <w:snapToGrid w:val="0"/>
        <w:jc w:val="both"/>
        <w:rPr>
          <w:bCs/>
          <w:color w:val="000000"/>
          <w:spacing w:val="-4"/>
          <w:sz w:val="20"/>
          <w:szCs w:val="20"/>
          <w:shd w:val="clear" w:color="auto" w:fill="FFFFFF"/>
          <w:lang w:val="vi-VN"/>
        </w:rPr>
      </w:pPr>
      <w:r w:rsidRPr="00744B04">
        <w:rPr>
          <w:bCs/>
          <w:color w:val="000000"/>
          <w:spacing w:val="-4"/>
          <w:sz w:val="20"/>
          <w:szCs w:val="20"/>
          <w:shd w:val="clear" w:color="auto" w:fill="FFFFFF"/>
          <w:lang w:val="vi-VN"/>
        </w:rPr>
        <w:t>(v</w:t>
      </w:r>
      <w:r w:rsidRPr="00744B04">
        <w:rPr>
          <w:bCs/>
          <w:color w:val="000000"/>
          <w:spacing w:val="-4"/>
          <w:sz w:val="20"/>
          <w:szCs w:val="20"/>
          <w:shd w:val="clear" w:color="auto" w:fill="FFFFFF"/>
          <w:lang w:val="en-US"/>
        </w:rPr>
        <w:t>i</w:t>
      </w:r>
      <w:r w:rsidRPr="00744B04">
        <w:rPr>
          <w:bCs/>
          <w:color w:val="000000"/>
          <w:spacing w:val="-4"/>
          <w:sz w:val="20"/>
          <w:szCs w:val="20"/>
          <w:shd w:val="clear" w:color="auto" w:fill="FFFFFF"/>
          <w:lang w:val="vi-VN"/>
        </w:rPr>
        <w:t>) Hiệp hội Ngân hàng Việt Nam: phối hợp với Tổ chức tài chính quốc tế (IFC) và Ban sáng lập Hiệp hội Kinh doanh mua bán nợ tổ chức hội thảo “Nâng cao tính lành mạnh, hiệu quả của cho vay tiêu dùng và quy định, thực tiễn thu hồi nợ”; báo cáo, kiến nghị các vấn đề liên quan đến dự thảo Nghị dịnh quy định chi tiết thi hành Luật Đất đai liên quan đến hoạt động ngân hàng và các vấn đề thúc đẩy phát triển sử dụng chữ ký số trong lĩnh vực tài chính - ngân hàng.</w:t>
      </w:r>
      <w:r w:rsidRPr="00744B04">
        <w:rPr>
          <w:spacing w:val="-4"/>
          <w:sz w:val="20"/>
          <w:szCs w:val="20"/>
          <w:lang w:val="vi-VN"/>
        </w:rPr>
        <w:t xml:space="preserve"> </w:t>
      </w:r>
      <w:r w:rsidRPr="00744B04">
        <w:rPr>
          <w:bCs/>
          <w:color w:val="000000"/>
          <w:spacing w:val="-4"/>
          <w:sz w:val="20"/>
          <w:szCs w:val="20"/>
          <w:shd w:val="clear" w:color="auto" w:fill="FFFFFF"/>
          <w:lang w:val="vi-VN"/>
        </w:rPr>
        <w:t xml:space="preserve"> </w:t>
      </w:r>
    </w:p>
    <w:p w:rsidR="002067D6" w:rsidRPr="00744B04" w:rsidRDefault="002067D6" w:rsidP="00744B04">
      <w:pPr>
        <w:widowControl w:val="0"/>
        <w:snapToGrid w:val="0"/>
        <w:jc w:val="both"/>
        <w:rPr>
          <w:bCs/>
          <w:color w:val="000000"/>
          <w:sz w:val="20"/>
          <w:szCs w:val="20"/>
          <w:shd w:val="clear" w:color="auto" w:fill="FFFFFF"/>
          <w:lang w:val="vi-VN"/>
        </w:rPr>
      </w:pPr>
      <w:r w:rsidRPr="00744B04">
        <w:rPr>
          <w:bCs/>
          <w:color w:val="000000"/>
          <w:sz w:val="20"/>
          <w:szCs w:val="20"/>
          <w:shd w:val="clear" w:color="auto" w:fill="FFFFFF"/>
          <w:lang w:val="vi-VN"/>
        </w:rPr>
        <w:t>(vi</w:t>
      </w:r>
      <w:r w:rsidRPr="00744B04">
        <w:rPr>
          <w:bCs/>
          <w:color w:val="000000"/>
          <w:sz w:val="20"/>
          <w:szCs w:val="20"/>
          <w:shd w:val="clear" w:color="auto" w:fill="FFFFFF"/>
          <w:lang w:val="en-US"/>
        </w:rPr>
        <w:t>i</w:t>
      </w:r>
      <w:r w:rsidRPr="00744B04">
        <w:rPr>
          <w:bCs/>
          <w:color w:val="000000"/>
          <w:sz w:val="20"/>
          <w:szCs w:val="20"/>
          <w:shd w:val="clear" w:color="auto" w:fill="FFFFFF"/>
          <w:lang w:val="vi-VN"/>
        </w:rPr>
        <w:t>) Hiệp hội Du lịch Việt Nam đề xuất các nội dung trọng tâm để thúc đẩy phát triển ngành du lịch như: các chính sách hỗ trợ từ ngân sách nhà nước để xây dựng sản phẩm du lịch mới; hỗ trợ đào tạo, bồi dưỡng nghiệp vụ cho nguồn nhân lực du lịch sau đại dịch COVID-19; đẩy mạnh hoạt động xúc tiến du lịch ở nước ngoài; đầu tư hạ tầng du lịch cho các khu vực trọng điểm du lịch và mở rộng việc cấp visa điện tử cho khách du lịch ở nhiều quốc gia,…</w:t>
      </w:r>
    </w:p>
    <w:p w:rsidR="002067D6" w:rsidRPr="00744B04" w:rsidRDefault="002067D6" w:rsidP="00744B04">
      <w:pPr>
        <w:widowControl w:val="0"/>
        <w:snapToGrid w:val="0"/>
        <w:jc w:val="both"/>
        <w:rPr>
          <w:bCs/>
          <w:color w:val="000000"/>
          <w:sz w:val="20"/>
          <w:szCs w:val="20"/>
          <w:shd w:val="clear" w:color="auto" w:fill="FFFFFF"/>
          <w:lang w:val="vi-VN"/>
        </w:rPr>
      </w:pPr>
      <w:r w:rsidRPr="00744B04">
        <w:rPr>
          <w:bCs/>
          <w:color w:val="000000"/>
          <w:sz w:val="20"/>
          <w:szCs w:val="20"/>
          <w:shd w:val="clear" w:color="auto" w:fill="FFFFFF"/>
          <w:lang w:val="vi-VN"/>
        </w:rPr>
        <w:t>(vi</w:t>
      </w:r>
      <w:r w:rsidRPr="00744B04">
        <w:rPr>
          <w:bCs/>
          <w:color w:val="000000"/>
          <w:sz w:val="20"/>
          <w:szCs w:val="20"/>
          <w:shd w:val="clear" w:color="auto" w:fill="FFFFFF"/>
          <w:lang w:val="en-US"/>
        </w:rPr>
        <w:t>i</w:t>
      </w:r>
      <w:r w:rsidRPr="00744B04">
        <w:rPr>
          <w:bCs/>
          <w:color w:val="000000"/>
          <w:sz w:val="20"/>
          <w:szCs w:val="20"/>
          <w:shd w:val="clear" w:color="auto" w:fill="FFFFFF"/>
          <w:lang w:val="vi-VN"/>
        </w:rPr>
        <w:t>i) VASEP: tập hợp các kiến nghị của doanh nghiệp ngành hàng liên quan đến Nghị định số 132/2020/NĐ-CP, Nghị định số 37/2024/NĐ-CP, Nghị định số 38/2024/NĐ-CP và một số quy định liên quan,…</w:t>
      </w:r>
    </w:p>
    <w:p w:rsidR="002067D6" w:rsidRPr="00744B04" w:rsidRDefault="002067D6" w:rsidP="00744B04">
      <w:pPr>
        <w:widowControl w:val="0"/>
        <w:snapToGrid w:val="0"/>
        <w:jc w:val="both"/>
        <w:rPr>
          <w:bCs/>
          <w:color w:val="000000"/>
          <w:sz w:val="20"/>
          <w:szCs w:val="20"/>
          <w:shd w:val="clear" w:color="auto" w:fill="FFFFFF"/>
          <w:lang w:val="vi-VN"/>
        </w:rPr>
      </w:pPr>
      <w:r w:rsidRPr="00744B04">
        <w:rPr>
          <w:bCs/>
          <w:color w:val="000000"/>
          <w:sz w:val="20"/>
          <w:szCs w:val="20"/>
          <w:shd w:val="clear" w:color="auto" w:fill="FFFFFF"/>
          <w:lang w:val="vi-VN"/>
        </w:rPr>
        <w:t>(</w:t>
      </w:r>
      <w:r w:rsidRPr="00744B04">
        <w:rPr>
          <w:bCs/>
          <w:color w:val="000000"/>
          <w:sz w:val="20"/>
          <w:szCs w:val="20"/>
          <w:shd w:val="clear" w:color="auto" w:fill="FFFFFF"/>
          <w:lang w:val="en-US"/>
        </w:rPr>
        <w:t>ix</w:t>
      </w:r>
      <w:r w:rsidRPr="00744B04">
        <w:rPr>
          <w:bCs/>
          <w:color w:val="000000"/>
          <w:sz w:val="20"/>
          <w:szCs w:val="20"/>
          <w:shd w:val="clear" w:color="auto" w:fill="FFFFFF"/>
          <w:lang w:val="vi-VN"/>
        </w:rPr>
        <w:t xml:space="preserve">) Hội Doanh nhân trẻ Việt Nam: thành lập chuyên trang “Doanh nhân trẻ Việt Nam hiến kế cải cách </w:t>
      </w:r>
      <w:r w:rsidRPr="00744B04">
        <w:rPr>
          <w:bCs/>
          <w:color w:val="000000"/>
          <w:sz w:val="20"/>
          <w:szCs w:val="20"/>
          <w:shd w:val="clear" w:color="auto" w:fill="FFFFFF"/>
          <w:lang w:val="en-US"/>
        </w:rPr>
        <w:t>TTHC</w:t>
      </w:r>
      <w:r w:rsidRPr="00744B04">
        <w:rPr>
          <w:bCs/>
          <w:color w:val="000000"/>
          <w:sz w:val="20"/>
          <w:szCs w:val="20"/>
          <w:shd w:val="clear" w:color="auto" w:fill="FFFFFF"/>
          <w:lang w:val="vi-VN"/>
        </w:rPr>
        <w:t xml:space="preserve">” tại website của Hội (địa chỉ </w:t>
      </w:r>
      <w:hyperlink r:id="rId1" w:history="1">
        <w:r w:rsidRPr="00744B04">
          <w:rPr>
            <w:rStyle w:val="Hyperlink"/>
            <w:bCs/>
            <w:color w:val="auto"/>
            <w:sz w:val="20"/>
            <w:szCs w:val="20"/>
            <w:u w:val="none"/>
            <w:shd w:val="clear" w:color="auto" w:fill="FFFFFF"/>
            <w:lang w:val="vi-VN"/>
          </w:rPr>
          <w:t>http://vyea.org.vn</w:t>
        </w:r>
      </w:hyperlink>
      <w:r w:rsidRPr="00744B04">
        <w:rPr>
          <w:bCs/>
          <w:sz w:val="20"/>
          <w:szCs w:val="20"/>
          <w:shd w:val="clear" w:color="auto" w:fill="FFFFFF"/>
          <w:lang w:val="vi-VN"/>
        </w:rPr>
        <w:t xml:space="preserve">); </w:t>
      </w:r>
      <w:r w:rsidRPr="00744B04">
        <w:rPr>
          <w:bCs/>
          <w:color w:val="000000"/>
          <w:sz w:val="20"/>
          <w:szCs w:val="20"/>
          <w:shd w:val="clear" w:color="auto" w:fill="FFFFFF"/>
          <w:lang w:val="vi-VN"/>
        </w:rPr>
        <w:t xml:space="preserve">định kỳ tổng hợp kiến nghị của hội viên liên quan đến cơ chế, chính sách, TTHC gửi báo cáo Hội đồng tư vấn. </w:t>
      </w:r>
    </w:p>
    <w:p w:rsidR="002067D6" w:rsidRPr="00744B04" w:rsidRDefault="002067D6" w:rsidP="00744B04">
      <w:pPr>
        <w:widowControl w:val="0"/>
        <w:snapToGrid w:val="0"/>
        <w:jc w:val="both"/>
        <w:rPr>
          <w:bCs/>
          <w:color w:val="000000"/>
          <w:sz w:val="20"/>
          <w:szCs w:val="20"/>
          <w:shd w:val="clear" w:color="auto" w:fill="FFFFFF"/>
          <w:lang w:val="vi-VN"/>
        </w:rPr>
      </w:pPr>
      <w:r w:rsidRPr="00744B04">
        <w:rPr>
          <w:bCs/>
          <w:color w:val="000000"/>
          <w:sz w:val="20"/>
          <w:szCs w:val="20"/>
          <w:shd w:val="clear" w:color="auto" w:fill="FFFFFF"/>
          <w:lang w:val="vi-VN"/>
        </w:rPr>
        <w:t>(</w:t>
      </w:r>
      <w:r w:rsidRPr="00744B04">
        <w:rPr>
          <w:bCs/>
          <w:color w:val="000000"/>
          <w:sz w:val="20"/>
          <w:szCs w:val="20"/>
          <w:shd w:val="clear" w:color="auto" w:fill="FFFFFF"/>
          <w:lang w:val="en-US"/>
        </w:rPr>
        <w:t>x</w:t>
      </w:r>
      <w:r w:rsidRPr="00744B04">
        <w:rPr>
          <w:bCs/>
          <w:color w:val="000000"/>
          <w:sz w:val="20"/>
          <w:szCs w:val="20"/>
          <w:shd w:val="clear" w:color="auto" w:fill="FFFFFF"/>
          <w:lang w:val="vi-VN"/>
        </w:rPr>
        <w:t>) EUROCHAM: đã gửi 42 công văn, bao gồm các công văn từ các Tiểu ban ngành nghề của Eurocham tới các bộ, cơ quan liên quan để đưa ra các ý kiến và khuyến nghị nhằm tháo gỡ khó khăn, vướng mắc trong các VBQPPL và đề nghị các cuộc gặp gỡ, đối thoại chính thức với các bộ, cơ quan nhằm nâng cao hợp tác, phát triển giữa Hiệp hội và các bộ, cơ quan; đồng thời, thảo luận chuyên sâu về các vấn đề liên quan đến các lĩnh vực: Luật Thuế GTGT, Thuế tiêu thụ đặc biệt, Luật Dược, Giấy phép lao động cho người nước ngoài, trách nhiệm mở rộng của nhà sản xuất, Hợp đồng mua bán điện trực tiếp.</w:t>
      </w:r>
    </w:p>
  </w:footnote>
  <w:footnote w:id="32">
    <w:p w:rsidR="002067D6" w:rsidRPr="00744B04" w:rsidRDefault="002067D6"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w:t>
      </w:r>
      <w:r w:rsidRPr="00744B04">
        <w:rPr>
          <w:sz w:val="20"/>
          <w:szCs w:val="20"/>
          <w:lang w:val="en-US"/>
        </w:rPr>
        <w:t>Nghị định số 63/NĐ-CP ngày 10/6/2024 của Chính phủ</w:t>
      </w:r>
    </w:p>
  </w:footnote>
  <w:footnote w:id="33">
    <w:p w:rsidR="002067D6" w:rsidRPr="00744B04" w:rsidRDefault="002067D6" w:rsidP="00744B04">
      <w:pPr>
        <w:pStyle w:val="FootnoteText"/>
        <w:jc w:val="both"/>
        <w:rPr>
          <w:spacing w:val="-4"/>
          <w:sz w:val="20"/>
          <w:szCs w:val="20"/>
          <w:lang w:val="en-US"/>
        </w:rPr>
      </w:pPr>
      <w:r w:rsidRPr="00744B04">
        <w:rPr>
          <w:rStyle w:val="FootnoteReference"/>
          <w:spacing w:val="-4"/>
          <w:sz w:val="20"/>
          <w:szCs w:val="20"/>
        </w:rPr>
        <w:footnoteRef/>
      </w:r>
      <w:r w:rsidRPr="00744B04">
        <w:rPr>
          <w:spacing w:val="-4"/>
          <w:sz w:val="20"/>
          <w:szCs w:val="20"/>
        </w:rPr>
        <w:t xml:space="preserve"> </w:t>
      </w:r>
      <w:r w:rsidRPr="00744B04">
        <w:rPr>
          <w:spacing w:val="-4"/>
          <w:sz w:val="20"/>
          <w:szCs w:val="20"/>
          <w:lang w:val="en-US"/>
        </w:rPr>
        <w:t>Gồm: Chỉ thị số 16/CT-TTg ngày 20/5/2024 và Chỉ thị số 04/CT-TTg</w:t>
      </w:r>
      <w:r w:rsidRPr="00744B04">
        <w:rPr>
          <w:color w:val="040C28"/>
          <w:spacing w:val="-4"/>
          <w:sz w:val="20"/>
          <w:szCs w:val="20"/>
        </w:rPr>
        <w:t xml:space="preserve"> ngày</w:t>
      </w:r>
      <w:r w:rsidRPr="00744B04">
        <w:rPr>
          <w:color w:val="202124"/>
          <w:spacing w:val="-4"/>
          <w:sz w:val="20"/>
          <w:szCs w:val="20"/>
          <w:shd w:val="clear" w:color="auto" w:fill="FFFFFF"/>
        </w:rPr>
        <w:t> 11/02/</w:t>
      </w:r>
      <w:r w:rsidRPr="00744B04">
        <w:rPr>
          <w:color w:val="040C28"/>
          <w:spacing w:val="-4"/>
          <w:sz w:val="20"/>
          <w:szCs w:val="20"/>
        </w:rPr>
        <w:t>2024</w:t>
      </w:r>
      <w:r w:rsidRPr="00744B04">
        <w:rPr>
          <w:color w:val="202124"/>
          <w:spacing w:val="-4"/>
          <w:sz w:val="20"/>
          <w:szCs w:val="20"/>
          <w:shd w:val="clear" w:color="auto" w:fill="FFFFFF"/>
        </w:rPr>
        <w:t> của Thủ tướng Chính phủ</w:t>
      </w:r>
    </w:p>
  </w:footnote>
  <w:footnote w:id="34">
    <w:p w:rsidR="002067D6" w:rsidRPr="00744B04" w:rsidRDefault="002067D6" w:rsidP="00744B04">
      <w:pPr>
        <w:pStyle w:val="FootnoteText"/>
        <w:jc w:val="both"/>
        <w:rPr>
          <w:sz w:val="20"/>
          <w:szCs w:val="20"/>
          <w:lang w:val="en-US"/>
        </w:rPr>
      </w:pPr>
      <w:r w:rsidRPr="00744B04">
        <w:rPr>
          <w:rStyle w:val="FootnoteReference"/>
          <w:sz w:val="20"/>
          <w:szCs w:val="20"/>
        </w:rPr>
        <w:footnoteRef/>
      </w:r>
      <w:r w:rsidRPr="00744B04">
        <w:rPr>
          <w:sz w:val="20"/>
          <w:szCs w:val="20"/>
        </w:rPr>
        <w:t xml:space="preserve"> </w:t>
      </w:r>
      <w:r w:rsidRPr="00744B04">
        <w:rPr>
          <w:sz w:val="20"/>
          <w:szCs w:val="20"/>
          <w:lang w:val="en-US"/>
        </w:rPr>
        <w:t xml:space="preserve">Gồm các Quyết định số: 104/QĐ-TTg ngày 25/01/2024, </w:t>
      </w:r>
      <w:r w:rsidRPr="00744B04">
        <w:rPr>
          <w:sz w:val="20"/>
          <w:szCs w:val="20"/>
        </w:rPr>
        <w:t>số 206/QĐ-TTg ngày 28/02/2024 và số 498/QĐ-TTg ngày 11/6/2024 của Thủ tướng Chính phủ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7D6" w:rsidRPr="00B209BD" w:rsidRDefault="002067D6" w:rsidP="00B209BD">
    <w:pPr>
      <w:pBdr>
        <w:top w:val="nil"/>
        <w:left w:val="nil"/>
        <w:bottom w:val="nil"/>
        <w:right w:val="nil"/>
        <w:between w:val="nil"/>
      </w:pBdr>
      <w:tabs>
        <w:tab w:val="center" w:pos="4680"/>
        <w:tab w:val="right" w:pos="9360"/>
      </w:tabs>
      <w:jc w:val="center"/>
      <w:rPr>
        <w:color w:val="000000"/>
        <w:sz w:val="24"/>
        <w:szCs w:val="24"/>
      </w:rPr>
    </w:pPr>
    <w:r w:rsidRPr="00B209BD">
      <w:rPr>
        <w:color w:val="000000"/>
        <w:sz w:val="24"/>
        <w:szCs w:val="24"/>
      </w:rPr>
      <w:fldChar w:fldCharType="begin"/>
    </w:r>
    <w:r w:rsidRPr="00B209BD">
      <w:rPr>
        <w:color w:val="000000"/>
        <w:sz w:val="24"/>
        <w:szCs w:val="24"/>
      </w:rPr>
      <w:instrText>PAGE</w:instrText>
    </w:r>
    <w:r w:rsidRPr="00B209BD">
      <w:rPr>
        <w:color w:val="000000"/>
        <w:sz w:val="24"/>
        <w:szCs w:val="24"/>
      </w:rPr>
      <w:fldChar w:fldCharType="separate"/>
    </w:r>
    <w:r w:rsidRPr="00B209BD">
      <w:rPr>
        <w:noProof/>
        <w:color w:val="000000"/>
        <w:sz w:val="24"/>
        <w:szCs w:val="24"/>
      </w:rPr>
      <w:t>2</w:t>
    </w:r>
    <w:r w:rsidRPr="00B209BD">
      <w:rPr>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7D6" w:rsidRDefault="002067D6">
    <w:pPr>
      <w:pBdr>
        <w:top w:val="nil"/>
        <w:left w:val="nil"/>
        <w:bottom w:val="nil"/>
        <w:right w:val="nil"/>
        <w:between w:val="nil"/>
      </w:pBdr>
      <w:tabs>
        <w:tab w:val="center" w:pos="4680"/>
        <w:tab w:val="right" w:pos="9360"/>
      </w:tabs>
      <w:jc w:val="center"/>
      <w:rPr>
        <w:color w:val="000000"/>
      </w:rPr>
    </w:pPr>
  </w:p>
  <w:p w:rsidR="002067D6" w:rsidRDefault="002067D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5B98"/>
    <w:multiLevelType w:val="hybridMultilevel"/>
    <w:tmpl w:val="DAD25586"/>
    <w:lvl w:ilvl="0" w:tplc="65C816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D6F6528"/>
    <w:multiLevelType w:val="multilevel"/>
    <w:tmpl w:val="1308680A"/>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E1063D5"/>
    <w:multiLevelType w:val="hybridMultilevel"/>
    <w:tmpl w:val="08D8B2BC"/>
    <w:lvl w:ilvl="0" w:tplc="21C04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0D7371"/>
    <w:multiLevelType w:val="hybridMultilevel"/>
    <w:tmpl w:val="B75CCB54"/>
    <w:lvl w:ilvl="0" w:tplc="5CCA3B06">
      <w:start w:val="1"/>
      <w:numFmt w:val="bullet"/>
      <w:lvlText w:val="-"/>
      <w:lvlJc w:val="left"/>
      <w:pPr>
        <w:ind w:left="759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1E6372"/>
    <w:multiLevelType w:val="hybridMultilevel"/>
    <w:tmpl w:val="8A6CF972"/>
    <w:lvl w:ilvl="0" w:tplc="02C248EA">
      <w:start w:val="3"/>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46056CC1"/>
    <w:multiLevelType w:val="hybridMultilevel"/>
    <w:tmpl w:val="25CC6CAE"/>
    <w:lvl w:ilvl="0" w:tplc="64E062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05642B"/>
    <w:multiLevelType w:val="hybridMultilevel"/>
    <w:tmpl w:val="6C601ADA"/>
    <w:lvl w:ilvl="0" w:tplc="8B247E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2C7064"/>
    <w:multiLevelType w:val="hybridMultilevel"/>
    <w:tmpl w:val="4520464C"/>
    <w:lvl w:ilvl="0" w:tplc="1BC01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7"/>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72"/>
    <w:rsid w:val="00000D92"/>
    <w:rsid w:val="00000E6D"/>
    <w:rsid w:val="00001765"/>
    <w:rsid w:val="00004703"/>
    <w:rsid w:val="000057DB"/>
    <w:rsid w:val="00011B2D"/>
    <w:rsid w:val="00011D20"/>
    <w:rsid w:val="00014583"/>
    <w:rsid w:val="000231DF"/>
    <w:rsid w:val="0002430B"/>
    <w:rsid w:val="00026E64"/>
    <w:rsid w:val="00027F94"/>
    <w:rsid w:val="00031E09"/>
    <w:rsid w:val="00035B95"/>
    <w:rsid w:val="000360E8"/>
    <w:rsid w:val="00040A1C"/>
    <w:rsid w:val="0004144E"/>
    <w:rsid w:val="000434E4"/>
    <w:rsid w:val="0004408D"/>
    <w:rsid w:val="0004585F"/>
    <w:rsid w:val="00046B77"/>
    <w:rsid w:val="00047003"/>
    <w:rsid w:val="00052D83"/>
    <w:rsid w:val="0005332C"/>
    <w:rsid w:val="00053EDD"/>
    <w:rsid w:val="0005682B"/>
    <w:rsid w:val="00060772"/>
    <w:rsid w:val="00061DEB"/>
    <w:rsid w:val="00061ECC"/>
    <w:rsid w:val="0006209F"/>
    <w:rsid w:val="00065972"/>
    <w:rsid w:val="00067C6A"/>
    <w:rsid w:val="000708B8"/>
    <w:rsid w:val="00071FB0"/>
    <w:rsid w:val="000729E8"/>
    <w:rsid w:val="00072D7A"/>
    <w:rsid w:val="00074674"/>
    <w:rsid w:val="0007525A"/>
    <w:rsid w:val="00075362"/>
    <w:rsid w:val="00075578"/>
    <w:rsid w:val="00077164"/>
    <w:rsid w:val="000778D6"/>
    <w:rsid w:val="00081D34"/>
    <w:rsid w:val="0008306E"/>
    <w:rsid w:val="00083771"/>
    <w:rsid w:val="00084644"/>
    <w:rsid w:val="00085148"/>
    <w:rsid w:val="0008549C"/>
    <w:rsid w:val="0008798F"/>
    <w:rsid w:val="000902D3"/>
    <w:rsid w:val="00092D7D"/>
    <w:rsid w:val="0009483D"/>
    <w:rsid w:val="00094DDE"/>
    <w:rsid w:val="00096419"/>
    <w:rsid w:val="00096B9E"/>
    <w:rsid w:val="00096F63"/>
    <w:rsid w:val="00097813"/>
    <w:rsid w:val="000A138D"/>
    <w:rsid w:val="000A565C"/>
    <w:rsid w:val="000A5E16"/>
    <w:rsid w:val="000B185B"/>
    <w:rsid w:val="000B27E1"/>
    <w:rsid w:val="000B2D7F"/>
    <w:rsid w:val="000B385B"/>
    <w:rsid w:val="000B3AFF"/>
    <w:rsid w:val="000B7275"/>
    <w:rsid w:val="000B7286"/>
    <w:rsid w:val="000C0CB8"/>
    <w:rsid w:val="000C1622"/>
    <w:rsid w:val="000C1F78"/>
    <w:rsid w:val="000C32E0"/>
    <w:rsid w:val="000D0071"/>
    <w:rsid w:val="000D0BE7"/>
    <w:rsid w:val="000D2959"/>
    <w:rsid w:val="000E047E"/>
    <w:rsid w:val="000E0B7A"/>
    <w:rsid w:val="000E61E6"/>
    <w:rsid w:val="000E6D50"/>
    <w:rsid w:val="000E7716"/>
    <w:rsid w:val="000F09E3"/>
    <w:rsid w:val="000F2742"/>
    <w:rsid w:val="000F39F4"/>
    <w:rsid w:val="000F6939"/>
    <w:rsid w:val="000F6C12"/>
    <w:rsid w:val="001024A3"/>
    <w:rsid w:val="001046F9"/>
    <w:rsid w:val="00105F0D"/>
    <w:rsid w:val="00106A37"/>
    <w:rsid w:val="001127F9"/>
    <w:rsid w:val="00112C95"/>
    <w:rsid w:val="00112D38"/>
    <w:rsid w:val="00114196"/>
    <w:rsid w:val="001149FB"/>
    <w:rsid w:val="001155D0"/>
    <w:rsid w:val="00116598"/>
    <w:rsid w:val="00116FB8"/>
    <w:rsid w:val="0012082A"/>
    <w:rsid w:val="00120A1B"/>
    <w:rsid w:val="00121108"/>
    <w:rsid w:val="00124CEB"/>
    <w:rsid w:val="001306A9"/>
    <w:rsid w:val="001325C0"/>
    <w:rsid w:val="00133F54"/>
    <w:rsid w:val="00134ED5"/>
    <w:rsid w:val="00136461"/>
    <w:rsid w:val="001418E4"/>
    <w:rsid w:val="001454C6"/>
    <w:rsid w:val="00145542"/>
    <w:rsid w:val="00146073"/>
    <w:rsid w:val="00153631"/>
    <w:rsid w:val="001551F7"/>
    <w:rsid w:val="00157301"/>
    <w:rsid w:val="001616FA"/>
    <w:rsid w:val="00161C01"/>
    <w:rsid w:val="0016414C"/>
    <w:rsid w:val="0016527B"/>
    <w:rsid w:val="001667AC"/>
    <w:rsid w:val="00167A58"/>
    <w:rsid w:val="0017049E"/>
    <w:rsid w:val="00172327"/>
    <w:rsid w:val="00173335"/>
    <w:rsid w:val="00175FD1"/>
    <w:rsid w:val="0017649F"/>
    <w:rsid w:val="001770D4"/>
    <w:rsid w:val="001771C8"/>
    <w:rsid w:val="001801C9"/>
    <w:rsid w:val="00183176"/>
    <w:rsid w:val="00183BB8"/>
    <w:rsid w:val="0018440A"/>
    <w:rsid w:val="001851F3"/>
    <w:rsid w:val="00186370"/>
    <w:rsid w:val="00186C60"/>
    <w:rsid w:val="00190E00"/>
    <w:rsid w:val="00191169"/>
    <w:rsid w:val="001916A3"/>
    <w:rsid w:val="00191829"/>
    <w:rsid w:val="00192615"/>
    <w:rsid w:val="0019329D"/>
    <w:rsid w:val="00193E48"/>
    <w:rsid w:val="00196459"/>
    <w:rsid w:val="00196A8D"/>
    <w:rsid w:val="00196CAC"/>
    <w:rsid w:val="001A0962"/>
    <w:rsid w:val="001A26B5"/>
    <w:rsid w:val="001A3ECA"/>
    <w:rsid w:val="001A4568"/>
    <w:rsid w:val="001A5FC2"/>
    <w:rsid w:val="001B03D7"/>
    <w:rsid w:val="001B31E9"/>
    <w:rsid w:val="001B32D7"/>
    <w:rsid w:val="001B3983"/>
    <w:rsid w:val="001B3CD2"/>
    <w:rsid w:val="001B6224"/>
    <w:rsid w:val="001B6500"/>
    <w:rsid w:val="001B7B27"/>
    <w:rsid w:val="001C0C0B"/>
    <w:rsid w:val="001C1906"/>
    <w:rsid w:val="001C3D9C"/>
    <w:rsid w:val="001C6C83"/>
    <w:rsid w:val="001D0584"/>
    <w:rsid w:val="001D6557"/>
    <w:rsid w:val="001D6FD2"/>
    <w:rsid w:val="001D731B"/>
    <w:rsid w:val="001D74E7"/>
    <w:rsid w:val="001E29F5"/>
    <w:rsid w:val="001E2AB9"/>
    <w:rsid w:val="001E4AC6"/>
    <w:rsid w:val="001E60E5"/>
    <w:rsid w:val="001E7BD8"/>
    <w:rsid w:val="001F2052"/>
    <w:rsid w:val="001F2B37"/>
    <w:rsid w:val="001F3091"/>
    <w:rsid w:val="001F59DA"/>
    <w:rsid w:val="001F799D"/>
    <w:rsid w:val="0020064A"/>
    <w:rsid w:val="00201188"/>
    <w:rsid w:val="0020389F"/>
    <w:rsid w:val="00203BB2"/>
    <w:rsid w:val="00204DFC"/>
    <w:rsid w:val="002067D6"/>
    <w:rsid w:val="00207486"/>
    <w:rsid w:val="002138E8"/>
    <w:rsid w:val="0021449D"/>
    <w:rsid w:val="00214715"/>
    <w:rsid w:val="00214CC7"/>
    <w:rsid w:val="0021626B"/>
    <w:rsid w:val="002178AF"/>
    <w:rsid w:val="00220E99"/>
    <w:rsid w:val="00221A5D"/>
    <w:rsid w:val="00222956"/>
    <w:rsid w:val="00223218"/>
    <w:rsid w:val="00226114"/>
    <w:rsid w:val="00232217"/>
    <w:rsid w:val="002328A6"/>
    <w:rsid w:val="00232953"/>
    <w:rsid w:val="00232DB9"/>
    <w:rsid w:val="002357AD"/>
    <w:rsid w:val="00235C19"/>
    <w:rsid w:val="002366C4"/>
    <w:rsid w:val="00236E84"/>
    <w:rsid w:val="00241DA9"/>
    <w:rsid w:val="002422F0"/>
    <w:rsid w:val="00242328"/>
    <w:rsid w:val="0024251A"/>
    <w:rsid w:val="0024316A"/>
    <w:rsid w:val="002435DE"/>
    <w:rsid w:val="00243987"/>
    <w:rsid w:val="00243D59"/>
    <w:rsid w:val="00244B69"/>
    <w:rsid w:val="0024516D"/>
    <w:rsid w:val="00247CF1"/>
    <w:rsid w:val="0025006A"/>
    <w:rsid w:val="0025095A"/>
    <w:rsid w:val="002515A6"/>
    <w:rsid w:val="00252C1D"/>
    <w:rsid w:val="00253683"/>
    <w:rsid w:val="00256226"/>
    <w:rsid w:val="00256846"/>
    <w:rsid w:val="00260415"/>
    <w:rsid w:val="00260ADF"/>
    <w:rsid w:val="0026324C"/>
    <w:rsid w:val="00263B46"/>
    <w:rsid w:val="00263C52"/>
    <w:rsid w:val="0026512F"/>
    <w:rsid w:val="00265BB4"/>
    <w:rsid w:val="002706CA"/>
    <w:rsid w:val="0027177A"/>
    <w:rsid w:val="0027237C"/>
    <w:rsid w:val="0027374D"/>
    <w:rsid w:val="00275CB8"/>
    <w:rsid w:val="002775AB"/>
    <w:rsid w:val="00277600"/>
    <w:rsid w:val="0028052E"/>
    <w:rsid w:val="00280DF7"/>
    <w:rsid w:val="00283E72"/>
    <w:rsid w:val="00286001"/>
    <w:rsid w:val="00286BF1"/>
    <w:rsid w:val="002875E4"/>
    <w:rsid w:val="00287C5A"/>
    <w:rsid w:val="00290E29"/>
    <w:rsid w:val="00294533"/>
    <w:rsid w:val="00294F5A"/>
    <w:rsid w:val="002950C7"/>
    <w:rsid w:val="002A086F"/>
    <w:rsid w:val="002A1A2E"/>
    <w:rsid w:val="002A37B3"/>
    <w:rsid w:val="002A4376"/>
    <w:rsid w:val="002A617D"/>
    <w:rsid w:val="002A7427"/>
    <w:rsid w:val="002A7D9D"/>
    <w:rsid w:val="002B07F4"/>
    <w:rsid w:val="002B1D94"/>
    <w:rsid w:val="002B4C8F"/>
    <w:rsid w:val="002C08C2"/>
    <w:rsid w:val="002C114E"/>
    <w:rsid w:val="002C2AA1"/>
    <w:rsid w:val="002C4202"/>
    <w:rsid w:val="002C51B6"/>
    <w:rsid w:val="002D0691"/>
    <w:rsid w:val="002D0B51"/>
    <w:rsid w:val="002D298B"/>
    <w:rsid w:val="002D4848"/>
    <w:rsid w:val="002D7255"/>
    <w:rsid w:val="002E0765"/>
    <w:rsid w:val="002E1CC3"/>
    <w:rsid w:val="002E3896"/>
    <w:rsid w:val="002E4631"/>
    <w:rsid w:val="002F0A19"/>
    <w:rsid w:val="002F11E0"/>
    <w:rsid w:val="002F1333"/>
    <w:rsid w:val="002F2784"/>
    <w:rsid w:val="002F2C37"/>
    <w:rsid w:val="002F348A"/>
    <w:rsid w:val="003043EF"/>
    <w:rsid w:val="00304E59"/>
    <w:rsid w:val="00304EF9"/>
    <w:rsid w:val="00305C0A"/>
    <w:rsid w:val="00305E08"/>
    <w:rsid w:val="00307D32"/>
    <w:rsid w:val="00307EC7"/>
    <w:rsid w:val="0031070A"/>
    <w:rsid w:val="00310C0E"/>
    <w:rsid w:val="00310DE7"/>
    <w:rsid w:val="00315514"/>
    <w:rsid w:val="003174F6"/>
    <w:rsid w:val="00317CFB"/>
    <w:rsid w:val="003216C4"/>
    <w:rsid w:val="003231E5"/>
    <w:rsid w:val="0032617D"/>
    <w:rsid w:val="00331C21"/>
    <w:rsid w:val="00333565"/>
    <w:rsid w:val="00333EBE"/>
    <w:rsid w:val="00334754"/>
    <w:rsid w:val="00335F50"/>
    <w:rsid w:val="003374FC"/>
    <w:rsid w:val="003404DC"/>
    <w:rsid w:val="003411D6"/>
    <w:rsid w:val="0034165E"/>
    <w:rsid w:val="00344850"/>
    <w:rsid w:val="003472E5"/>
    <w:rsid w:val="00347814"/>
    <w:rsid w:val="0035010D"/>
    <w:rsid w:val="00350285"/>
    <w:rsid w:val="003540CC"/>
    <w:rsid w:val="00355B0B"/>
    <w:rsid w:val="0036056D"/>
    <w:rsid w:val="00360874"/>
    <w:rsid w:val="00361EB8"/>
    <w:rsid w:val="00367021"/>
    <w:rsid w:val="003670D0"/>
    <w:rsid w:val="00367E35"/>
    <w:rsid w:val="00370E7D"/>
    <w:rsid w:val="00371222"/>
    <w:rsid w:val="003739FA"/>
    <w:rsid w:val="003748E3"/>
    <w:rsid w:val="00375234"/>
    <w:rsid w:val="00376065"/>
    <w:rsid w:val="00380ABA"/>
    <w:rsid w:val="00380B79"/>
    <w:rsid w:val="00381191"/>
    <w:rsid w:val="00382722"/>
    <w:rsid w:val="00385E53"/>
    <w:rsid w:val="003862E5"/>
    <w:rsid w:val="00391A26"/>
    <w:rsid w:val="0039431A"/>
    <w:rsid w:val="00395304"/>
    <w:rsid w:val="00395F52"/>
    <w:rsid w:val="003A217B"/>
    <w:rsid w:val="003A6608"/>
    <w:rsid w:val="003A77C3"/>
    <w:rsid w:val="003B02F5"/>
    <w:rsid w:val="003B1866"/>
    <w:rsid w:val="003B649D"/>
    <w:rsid w:val="003B6D4A"/>
    <w:rsid w:val="003C0F42"/>
    <w:rsid w:val="003C1F82"/>
    <w:rsid w:val="003C38F4"/>
    <w:rsid w:val="003C4757"/>
    <w:rsid w:val="003C4C26"/>
    <w:rsid w:val="003C4F9F"/>
    <w:rsid w:val="003C755B"/>
    <w:rsid w:val="003C7F44"/>
    <w:rsid w:val="003D07E1"/>
    <w:rsid w:val="003D0FFC"/>
    <w:rsid w:val="003D43D6"/>
    <w:rsid w:val="003D50B2"/>
    <w:rsid w:val="003D51E2"/>
    <w:rsid w:val="003D638A"/>
    <w:rsid w:val="003E170B"/>
    <w:rsid w:val="003E2FA5"/>
    <w:rsid w:val="003E6364"/>
    <w:rsid w:val="003E6C13"/>
    <w:rsid w:val="003E7F83"/>
    <w:rsid w:val="003F00D1"/>
    <w:rsid w:val="003F0D59"/>
    <w:rsid w:val="003F2BCF"/>
    <w:rsid w:val="003F3EF6"/>
    <w:rsid w:val="003F4BA0"/>
    <w:rsid w:val="003F5AC6"/>
    <w:rsid w:val="003F65C8"/>
    <w:rsid w:val="003F6C64"/>
    <w:rsid w:val="004007AA"/>
    <w:rsid w:val="00402C2F"/>
    <w:rsid w:val="00402D08"/>
    <w:rsid w:val="0040523D"/>
    <w:rsid w:val="004072AE"/>
    <w:rsid w:val="00412EB7"/>
    <w:rsid w:val="00414513"/>
    <w:rsid w:val="00416936"/>
    <w:rsid w:val="004221E6"/>
    <w:rsid w:val="00422410"/>
    <w:rsid w:val="00422522"/>
    <w:rsid w:val="0042277D"/>
    <w:rsid w:val="00423206"/>
    <w:rsid w:val="004234DD"/>
    <w:rsid w:val="00431AE4"/>
    <w:rsid w:val="00431FED"/>
    <w:rsid w:val="00433995"/>
    <w:rsid w:val="00434337"/>
    <w:rsid w:val="004366C5"/>
    <w:rsid w:val="00436BF9"/>
    <w:rsid w:val="004372A3"/>
    <w:rsid w:val="0044038E"/>
    <w:rsid w:val="00441D0A"/>
    <w:rsid w:val="00441E76"/>
    <w:rsid w:val="00442546"/>
    <w:rsid w:val="0044377B"/>
    <w:rsid w:val="0044379A"/>
    <w:rsid w:val="004441A4"/>
    <w:rsid w:val="00444DBB"/>
    <w:rsid w:val="004458DF"/>
    <w:rsid w:val="004508C1"/>
    <w:rsid w:val="00451A59"/>
    <w:rsid w:val="00452083"/>
    <w:rsid w:val="004548D2"/>
    <w:rsid w:val="00454FF0"/>
    <w:rsid w:val="004553E8"/>
    <w:rsid w:val="00461459"/>
    <w:rsid w:val="00470D0B"/>
    <w:rsid w:val="00473885"/>
    <w:rsid w:val="00474838"/>
    <w:rsid w:val="0047602D"/>
    <w:rsid w:val="00480BE4"/>
    <w:rsid w:val="00480EC5"/>
    <w:rsid w:val="0048117B"/>
    <w:rsid w:val="0048127D"/>
    <w:rsid w:val="00481D42"/>
    <w:rsid w:val="00482ABE"/>
    <w:rsid w:val="00484C1E"/>
    <w:rsid w:val="00485D82"/>
    <w:rsid w:val="0049071B"/>
    <w:rsid w:val="00490FD0"/>
    <w:rsid w:val="00493E66"/>
    <w:rsid w:val="004952B5"/>
    <w:rsid w:val="004959A7"/>
    <w:rsid w:val="00497326"/>
    <w:rsid w:val="004A25EE"/>
    <w:rsid w:val="004A272B"/>
    <w:rsid w:val="004A3719"/>
    <w:rsid w:val="004A4315"/>
    <w:rsid w:val="004A4CEB"/>
    <w:rsid w:val="004A5A18"/>
    <w:rsid w:val="004B046E"/>
    <w:rsid w:val="004B1ADA"/>
    <w:rsid w:val="004B2876"/>
    <w:rsid w:val="004B498B"/>
    <w:rsid w:val="004B4B6C"/>
    <w:rsid w:val="004B697F"/>
    <w:rsid w:val="004B6EFA"/>
    <w:rsid w:val="004B7942"/>
    <w:rsid w:val="004C11EC"/>
    <w:rsid w:val="004C62B9"/>
    <w:rsid w:val="004C71D8"/>
    <w:rsid w:val="004D0D90"/>
    <w:rsid w:val="004D0FEE"/>
    <w:rsid w:val="004D12C2"/>
    <w:rsid w:val="004D19B4"/>
    <w:rsid w:val="004D3CB1"/>
    <w:rsid w:val="004D4004"/>
    <w:rsid w:val="004D5D72"/>
    <w:rsid w:val="004E37BC"/>
    <w:rsid w:val="004E4224"/>
    <w:rsid w:val="004E46C3"/>
    <w:rsid w:val="004E5962"/>
    <w:rsid w:val="004E5B75"/>
    <w:rsid w:val="004E740C"/>
    <w:rsid w:val="004F010A"/>
    <w:rsid w:val="004F34F5"/>
    <w:rsid w:val="004F4E9E"/>
    <w:rsid w:val="004F7EFD"/>
    <w:rsid w:val="005029A1"/>
    <w:rsid w:val="00503428"/>
    <w:rsid w:val="0050418B"/>
    <w:rsid w:val="0050420D"/>
    <w:rsid w:val="005048C4"/>
    <w:rsid w:val="00504FA3"/>
    <w:rsid w:val="00507C87"/>
    <w:rsid w:val="0051029D"/>
    <w:rsid w:val="005105E1"/>
    <w:rsid w:val="0051095F"/>
    <w:rsid w:val="00510F14"/>
    <w:rsid w:val="005128AB"/>
    <w:rsid w:val="00512BFB"/>
    <w:rsid w:val="00516085"/>
    <w:rsid w:val="005162DD"/>
    <w:rsid w:val="00516DDA"/>
    <w:rsid w:val="00517F23"/>
    <w:rsid w:val="00520049"/>
    <w:rsid w:val="005204B3"/>
    <w:rsid w:val="0052402E"/>
    <w:rsid w:val="0052406F"/>
    <w:rsid w:val="0052500B"/>
    <w:rsid w:val="00527F70"/>
    <w:rsid w:val="00530020"/>
    <w:rsid w:val="005327E5"/>
    <w:rsid w:val="005340C5"/>
    <w:rsid w:val="00534465"/>
    <w:rsid w:val="00535640"/>
    <w:rsid w:val="00541611"/>
    <w:rsid w:val="005419B0"/>
    <w:rsid w:val="00541DE3"/>
    <w:rsid w:val="0054212F"/>
    <w:rsid w:val="00545604"/>
    <w:rsid w:val="00545FED"/>
    <w:rsid w:val="0054732A"/>
    <w:rsid w:val="005475D5"/>
    <w:rsid w:val="00552E33"/>
    <w:rsid w:val="00554499"/>
    <w:rsid w:val="00554F99"/>
    <w:rsid w:val="00555374"/>
    <w:rsid w:val="00556586"/>
    <w:rsid w:val="00556FFE"/>
    <w:rsid w:val="00560706"/>
    <w:rsid w:val="00563710"/>
    <w:rsid w:val="005659C8"/>
    <w:rsid w:val="00565DF5"/>
    <w:rsid w:val="00571AE4"/>
    <w:rsid w:val="005728EC"/>
    <w:rsid w:val="00572E3D"/>
    <w:rsid w:val="00574EBE"/>
    <w:rsid w:val="005754C1"/>
    <w:rsid w:val="00581669"/>
    <w:rsid w:val="00584947"/>
    <w:rsid w:val="005905BC"/>
    <w:rsid w:val="005906F9"/>
    <w:rsid w:val="00593BB8"/>
    <w:rsid w:val="00596E20"/>
    <w:rsid w:val="005A0007"/>
    <w:rsid w:val="005A1AB0"/>
    <w:rsid w:val="005A25F6"/>
    <w:rsid w:val="005A5109"/>
    <w:rsid w:val="005A522A"/>
    <w:rsid w:val="005A7916"/>
    <w:rsid w:val="005A7A36"/>
    <w:rsid w:val="005B0DA7"/>
    <w:rsid w:val="005B4159"/>
    <w:rsid w:val="005B4A17"/>
    <w:rsid w:val="005B6239"/>
    <w:rsid w:val="005B7559"/>
    <w:rsid w:val="005C0CC0"/>
    <w:rsid w:val="005C18FF"/>
    <w:rsid w:val="005C3555"/>
    <w:rsid w:val="005C3B20"/>
    <w:rsid w:val="005C6014"/>
    <w:rsid w:val="005C7EC5"/>
    <w:rsid w:val="005D2DB5"/>
    <w:rsid w:val="005D5A0B"/>
    <w:rsid w:val="005E0139"/>
    <w:rsid w:val="005E0A63"/>
    <w:rsid w:val="005E0E5A"/>
    <w:rsid w:val="005E3AC9"/>
    <w:rsid w:val="005F02C3"/>
    <w:rsid w:val="005F1988"/>
    <w:rsid w:val="005F261F"/>
    <w:rsid w:val="005F2D07"/>
    <w:rsid w:val="005F48BB"/>
    <w:rsid w:val="0060151D"/>
    <w:rsid w:val="0060172E"/>
    <w:rsid w:val="0060298F"/>
    <w:rsid w:val="00603073"/>
    <w:rsid w:val="00603D8C"/>
    <w:rsid w:val="006040B7"/>
    <w:rsid w:val="006041A6"/>
    <w:rsid w:val="0060421D"/>
    <w:rsid w:val="00604A33"/>
    <w:rsid w:val="00604C8E"/>
    <w:rsid w:val="006058BC"/>
    <w:rsid w:val="00607D55"/>
    <w:rsid w:val="00611627"/>
    <w:rsid w:val="006122F9"/>
    <w:rsid w:val="0061237B"/>
    <w:rsid w:val="00612A32"/>
    <w:rsid w:val="006141F5"/>
    <w:rsid w:val="00616355"/>
    <w:rsid w:val="00621D04"/>
    <w:rsid w:val="00623D73"/>
    <w:rsid w:val="00624F58"/>
    <w:rsid w:val="00625359"/>
    <w:rsid w:val="00625448"/>
    <w:rsid w:val="006260FD"/>
    <w:rsid w:val="00626D97"/>
    <w:rsid w:val="00626DF1"/>
    <w:rsid w:val="00627C07"/>
    <w:rsid w:val="006343AF"/>
    <w:rsid w:val="00635DCB"/>
    <w:rsid w:val="006373AB"/>
    <w:rsid w:val="00640FFA"/>
    <w:rsid w:val="00641607"/>
    <w:rsid w:val="00641D78"/>
    <w:rsid w:val="00643C0A"/>
    <w:rsid w:val="0064499C"/>
    <w:rsid w:val="0064528B"/>
    <w:rsid w:val="00647057"/>
    <w:rsid w:val="00650361"/>
    <w:rsid w:val="006507D3"/>
    <w:rsid w:val="00651C2E"/>
    <w:rsid w:val="00663B13"/>
    <w:rsid w:val="006671E5"/>
    <w:rsid w:val="006720CA"/>
    <w:rsid w:val="00674D11"/>
    <w:rsid w:val="00677585"/>
    <w:rsid w:val="006808D2"/>
    <w:rsid w:val="00680DDF"/>
    <w:rsid w:val="0068260D"/>
    <w:rsid w:val="00682789"/>
    <w:rsid w:val="00683A79"/>
    <w:rsid w:val="00684903"/>
    <w:rsid w:val="00690348"/>
    <w:rsid w:val="0069099E"/>
    <w:rsid w:val="006915B2"/>
    <w:rsid w:val="00691B4C"/>
    <w:rsid w:val="0069326C"/>
    <w:rsid w:val="00694DFC"/>
    <w:rsid w:val="00696496"/>
    <w:rsid w:val="00696C55"/>
    <w:rsid w:val="006A1A88"/>
    <w:rsid w:val="006A1F32"/>
    <w:rsid w:val="006A3129"/>
    <w:rsid w:val="006A5B95"/>
    <w:rsid w:val="006A6BD4"/>
    <w:rsid w:val="006A770E"/>
    <w:rsid w:val="006B1704"/>
    <w:rsid w:val="006B1BC6"/>
    <w:rsid w:val="006B20AA"/>
    <w:rsid w:val="006B2A65"/>
    <w:rsid w:val="006B3EEA"/>
    <w:rsid w:val="006B4C79"/>
    <w:rsid w:val="006C2DAB"/>
    <w:rsid w:val="006C778C"/>
    <w:rsid w:val="006D2C28"/>
    <w:rsid w:val="006D2EE8"/>
    <w:rsid w:val="006D47CE"/>
    <w:rsid w:val="006E0D96"/>
    <w:rsid w:val="006E0E24"/>
    <w:rsid w:val="006E1050"/>
    <w:rsid w:val="006E2C73"/>
    <w:rsid w:val="006E3284"/>
    <w:rsid w:val="006E3F81"/>
    <w:rsid w:val="006E53BA"/>
    <w:rsid w:val="006E75C6"/>
    <w:rsid w:val="006E7D99"/>
    <w:rsid w:val="006F0FEA"/>
    <w:rsid w:val="006F50F9"/>
    <w:rsid w:val="006F5AC8"/>
    <w:rsid w:val="00701873"/>
    <w:rsid w:val="00703210"/>
    <w:rsid w:val="007061AF"/>
    <w:rsid w:val="00711B63"/>
    <w:rsid w:val="00711F71"/>
    <w:rsid w:val="00713B14"/>
    <w:rsid w:val="0071478F"/>
    <w:rsid w:val="007170A2"/>
    <w:rsid w:val="00723550"/>
    <w:rsid w:val="0072392A"/>
    <w:rsid w:val="00723B78"/>
    <w:rsid w:val="00725756"/>
    <w:rsid w:val="00725A99"/>
    <w:rsid w:val="00726293"/>
    <w:rsid w:val="007275DA"/>
    <w:rsid w:val="007277FB"/>
    <w:rsid w:val="00730DA9"/>
    <w:rsid w:val="00731FF6"/>
    <w:rsid w:val="0073224B"/>
    <w:rsid w:val="00732C3D"/>
    <w:rsid w:val="00732DE3"/>
    <w:rsid w:val="00732F02"/>
    <w:rsid w:val="00733DE4"/>
    <w:rsid w:val="00734758"/>
    <w:rsid w:val="00734D38"/>
    <w:rsid w:val="00737E1F"/>
    <w:rsid w:val="007405C5"/>
    <w:rsid w:val="007406C5"/>
    <w:rsid w:val="0074165C"/>
    <w:rsid w:val="00742855"/>
    <w:rsid w:val="00742AC7"/>
    <w:rsid w:val="007446A8"/>
    <w:rsid w:val="00744B04"/>
    <w:rsid w:val="00744FCD"/>
    <w:rsid w:val="00745E44"/>
    <w:rsid w:val="00747A00"/>
    <w:rsid w:val="00747F84"/>
    <w:rsid w:val="00750A25"/>
    <w:rsid w:val="00754132"/>
    <w:rsid w:val="007546FF"/>
    <w:rsid w:val="0075581F"/>
    <w:rsid w:val="00755F53"/>
    <w:rsid w:val="007560F0"/>
    <w:rsid w:val="0075699D"/>
    <w:rsid w:val="00757365"/>
    <w:rsid w:val="00757D72"/>
    <w:rsid w:val="00762376"/>
    <w:rsid w:val="0076440C"/>
    <w:rsid w:val="00767745"/>
    <w:rsid w:val="007721C0"/>
    <w:rsid w:val="00772A0E"/>
    <w:rsid w:val="007733DB"/>
    <w:rsid w:val="00776359"/>
    <w:rsid w:val="0077672E"/>
    <w:rsid w:val="0078003F"/>
    <w:rsid w:val="00780C38"/>
    <w:rsid w:val="0078216A"/>
    <w:rsid w:val="00782820"/>
    <w:rsid w:val="00782932"/>
    <w:rsid w:val="00782FBD"/>
    <w:rsid w:val="00785130"/>
    <w:rsid w:val="007862D2"/>
    <w:rsid w:val="0078666A"/>
    <w:rsid w:val="00793BB0"/>
    <w:rsid w:val="00795A5C"/>
    <w:rsid w:val="007974A4"/>
    <w:rsid w:val="007A078C"/>
    <w:rsid w:val="007A0932"/>
    <w:rsid w:val="007A1107"/>
    <w:rsid w:val="007A3F82"/>
    <w:rsid w:val="007A65DF"/>
    <w:rsid w:val="007A7113"/>
    <w:rsid w:val="007A7D73"/>
    <w:rsid w:val="007B23B1"/>
    <w:rsid w:val="007B5DEF"/>
    <w:rsid w:val="007B77FC"/>
    <w:rsid w:val="007B7F1F"/>
    <w:rsid w:val="007C260C"/>
    <w:rsid w:val="007C26D9"/>
    <w:rsid w:val="007C3415"/>
    <w:rsid w:val="007C43B5"/>
    <w:rsid w:val="007D1B41"/>
    <w:rsid w:val="007D2170"/>
    <w:rsid w:val="007D2E09"/>
    <w:rsid w:val="007D3FDF"/>
    <w:rsid w:val="007D501C"/>
    <w:rsid w:val="007D5943"/>
    <w:rsid w:val="007D6AD1"/>
    <w:rsid w:val="007D6B67"/>
    <w:rsid w:val="007D7945"/>
    <w:rsid w:val="007E2091"/>
    <w:rsid w:val="007E2B72"/>
    <w:rsid w:val="007E30D9"/>
    <w:rsid w:val="007E3291"/>
    <w:rsid w:val="007E3668"/>
    <w:rsid w:val="007E69D5"/>
    <w:rsid w:val="007F1B7B"/>
    <w:rsid w:val="007F1E90"/>
    <w:rsid w:val="007F36F1"/>
    <w:rsid w:val="007F7ACD"/>
    <w:rsid w:val="00803B9B"/>
    <w:rsid w:val="00804991"/>
    <w:rsid w:val="00810941"/>
    <w:rsid w:val="00812E61"/>
    <w:rsid w:val="00812F6D"/>
    <w:rsid w:val="00813E50"/>
    <w:rsid w:val="00820C57"/>
    <w:rsid w:val="00821745"/>
    <w:rsid w:val="00821F88"/>
    <w:rsid w:val="00826765"/>
    <w:rsid w:val="00826D7A"/>
    <w:rsid w:val="0083126A"/>
    <w:rsid w:val="00831273"/>
    <w:rsid w:val="008327F4"/>
    <w:rsid w:val="00836617"/>
    <w:rsid w:val="008367E1"/>
    <w:rsid w:val="00840626"/>
    <w:rsid w:val="00843149"/>
    <w:rsid w:val="008464D0"/>
    <w:rsid w:val="0084681F"/>
    <w:rsid w:val="00847756"/>
    <w:rsid w:val="00847E3E"/>
    <w:rsid w:val="0085079F"/>
    <w:rsid w:val="00851AF3"/>
    <w:rsid w:val="00852CB4"/>
    <w:rsid w:val="00855B28"/>
    <w:rsid w:val="008561F5"/>
    <w:rsid w:val="00856BD7"/>
    <w:rsid w:val="008605CF"/>
    <w:rsid w:val="00861D98"/>
    <w:rsid w:val="00863FC6"/>
    <w:rsid w:val="00864124"/>
    <w:rsid w:val="0086599B"/>
    <w:rsid w:val="00866887"/>
    <w:rsid w:val="00867318"/>
    <w:rsid w:val="00870614"/>
    <w:rsid w:val="00871E8F"/>
    <w:rsid w:val="008738E4"/>
    <w:rsid w:val="0087446F"/>
    <w:rsid w:val="00874E04"/>
    <w:rsid w:val="0087775E"/>
    <w:rsid w:val="0088393C"/>
    <w:rsid w:val="00883C95"/>
    <w:rsid w:val="008857DB"/>
    <w:rsid w:val="00885D38"/>
    <w:rsid w:val="008860F4"/>
    <w:rsid w:val="00886A30"/>
    <w:rsid w:val="008876DA"/>
    <w:rsid w:val="00890CFC"/>
    <w:rsid w:val="0089107D"/>
    <w:rsid w:val="0089127C"/>
    <w:rsid w:val="0089159A"/>
    <w:rsid w:val="008936D3"/>
    <w:rsid w:val="008939F2"/>
    <w:rsid w:val="00895915"/>
    <w:rsid w:val="00895D04"/>
    <w:rsid w:val="008A100C"/>
    <w:rsid w:val="008A1D6F"/>
    <w:rsid w:val="008A2BE9"/>
    <w:rsid w:val="008A4770"/>
    <w:rsid w:val="008A4E4A"/>
    <w:rsid w:val="008A591A"/>
    <w:rsid w:val="008A6D33"/>
    <w:rsid w:val="008A7B29"/>
    <w:rsid w:val="008B3073"/>
    <w:rsid w:val="008B4F90"/>
    <w:rsid w:val="008B6C43"/>
    <w:rsid w:val="008B7AEA"/>
    <w:rsid w:val="008C0EBD"/>
    <w:rsid w:val="008C1AC9"/>
    <w:rsid w:val="008C27FB"/>
    <w:rsid w:val="008C4F51"/>
    <w:rsid w:val="008C6C62"/>
    <w:rsid w:val="008D1926"/>
    <w:rsid w:val="008D1D09"/>
    <w:rsid w:val="008D34A2"/>
    <w:rsid w:val="008D367E"/>
    <w:rsid w:val="008D4910"/>
    <w:rsid w:val="008D59A8"/>
    <w:rsid w:val="008D5E52"/>
    <w:rsid w:val="008D6D10"/>
    <w:rsid w:val="008E0C35"/>
    <w:rsid w:val="008E16D8"/>
    <w:rsid w:val="008E2843"/>
    <w:rsid w:val="008E48F6"/>
    <w:rsid w:val="008E4E16"/>
    <w:rsid w:val="008E5D20"/>
    <w:rsid w:val="008E680B"/>
    <w:rsid w:val="008E7C8C"/>
    <w:rsid w:val="008F198F"/>
    <w:rsid w:val="008F2588"/>
    <w:rsid w:val="00900106"/>
    <w:rsid w:val="00900584"/>
    <w:rsid w:val="00901534"/>
    <w:rsid w:val="0090347F"/>
    <w:rsid w:val="00905729"/>
    <w:rsid w:val="00906CB2"/>
    <w:rsid w:val="009070AB"/>
    <w:rsid w:val="00910302"/>
    <w:rsid w:val="009110FA"/>
    <w:rsid w:val="00911CB2"/>
    <w:rsid w:val="00911EF7"/>
    <w:rsid w:val="0091340F"/>
    <w:rsid w:val="0091523B"/>
    <w:rsid w:val="00916674"/>
    <w:rsid w:val="00930462"/>
    <w:rsid w:val="00932E04"/>
    <w:rsid w:val="009349D3"/>
    <w:rsid w:val="0093728C"/>
    <w:rsid w:val="00937CCB"/>
    <w:rsid w:val="009403EB"/>
    <w:rsid w:val="0094329B"/>
    <w:rsid w:val="00944906"/>
    <w:rsid w:val="00944D71"/>
    <w:rsid w:val="00947C98"/>
    <w:rsid w:val="0095023F"/>
    <w:rsid w:val="00950561"/>
    <w:rsid w:val="00952926"/>
    <w:rsid w:val="00952ED5"/>
    <w:rsid w:val="00955610"/>
    <w:rsid w:val="00956184"/>
    <w:rsid w:val="009575CA"/>
    <w:rsid w:val="00960CB3"/>
    <w:rsid w:val="0096219C"/>
    <w:rsid w:val="00964372"/>
    <w:rsid w:val="00970F43"/>
    <w:rsid w:val="00971313"/>
    <w:rsid w:val="00972AB1"/>
    <w:rsid w:val="00972BFB"/>
    <w:rsid w:val="0097301F"/>
    <w:rsid w:val="0097343F"/>
    <w:rsid w:val="0097377A"/>
    <w:rsid w:val="00974612"/>
    <w:rsid w:val="00974643"/>
    <w:rsid w:val="00981FB5"/>
    <w:rsid w:val="0098368C"/>
    <w:rsid w:val="00985491"/>
    <w:rsid w:val="009944A8"/>
    <w:rsid w:val="00994AAE"/>
    <w:rsid w:val="00997F03"/>
    <w:rsid w:val="009A0C81"/>
    <w:rsid w:val="009A19FF"/>
    <w:rsid w:val="009A42D2"/>
    <w:rsid w:val="009A4683"/>
    <w:rsid w:val="009A4A5D"/>
    <w:rsid w:val="009A57EF"/>
    <w:rsid w:val="009B0A6C"/>
    <w:rsid w:val="009B0EB4"/>
    <w:rsid w:val="009B399A"/>
    <w:rsid w:val="009B5DFE"/>
    <w:rsid w:val="009B64E8"/>
    <w:rsid w:val="009C11CA"/>
    <w:rsid w:val="009C1889"/>
    <w:rsid w:val="009C349C"/>
    <w:rsid w:val="009C3851"/>
    <w:rsid w:val="009C39C3"/>
    <w:rsid w:val="009C61DC"/>
    <w:rsid w:val="009C6424"/>
    <w:rsid w:val="009D09FD"/>
    <w:rsid w:val="009D2772"/>
    <w:rsid w:val="009D3379"/>
    <w:rsid w:val="009D3CDE"/>
    <w:rsid w:val="009D5447"/>
    <w:rsid w:val="009D6B56"/>
    <w:rsid w:val="009D6C26"/>
    <w:rsid w:val="009D6E59"/>
    <w:rsid w:val="009E45B9"/>
    <w:rsid w:val="009E4769"/>
    <w:rsid w:val="009E520C"/>
    <w:rsid w:val="009E5288"/>
    <w:rsid w:val="009E5D81"/>
    <w:rsid w:val="009E687E"/>
    <w:rsid w:val="009E69C1"/>
    <w:rsid w:val="009E740C"/>
    <w:rsid w:val="009F1B39"/>
    <w:rsid w:val="009F290C"/>
    <w:rsid w:val="009F5FF9"/>
    <w:rsid w:val="00A00027"/>
    <w:rsid w:val="00A007F1"/>
    <w:rsid w:val="00A00C35"/>
    <w:rsid w:val="00A00CFD"/>
    <w:rsid w:val="00A015FC"/>
    <w:rsid w:val="00A0670E"/>
    <w:rsid w:val="00A10048"/>
    <w:rsid w:val="00A10414"/>
    <w:rsid w:val="00A1051A"/>
    <w:rsid w:val="00A132C2"/>
    <w:rsid w:val="00A1468D"/>
    <w:rsid w:val="00A20A58"/>
    <w:rsid w:val="00A24F5E"/>
    <w:rsid w:val="00A25B77"/>
    <w:rsid w:val="00A26862"/>
    <w:rsid w:val="00A26C18"/>
    <w:rsid w:val="00A27C42"/>
    <w:rsid w:val="00A30DEB"/>
    <w:rsid w:val="00A3119E"/>
    <w:rsid w:val="00A337F7"/>
    <w:rsid w:val="00A33A95"/>
    <w:rsid w:val="00A33C39"/>
    <w:rsid w:val="00A347E4"/>
    <w:rsid w:val="00A348B2"/>
    <w:rsid w:val="00A355D0"/>
    <w:rsid w:val="00A36E52"/>
    <w:rsid w:val="00A371BD"/>
    <w:rsid w:val="00A373BB"/>
    <w:rsid w:val="00A40202"/>
    <w:rsid w:val="00A414E0"/>
    <w:rsid w:val="00A44E75"/>
    <w:rsid w:val="00A459B3"/>
    <w:rsid w:val="00A45A85"/>
    <w:rsid w:val="00A4722A"/>
    <w:rsid w:val="00A50E6A"/>
    <w:rsid w:val="00A52383"/>
    <w:rsid w:val="00A52C51"/>
    <w:rsid w:val="00A52E4C"/>
    <w:rsid w:val="00A54EE1"/>
    <w:rsid w:val="00A56DD7"/>
    <w:rsid w:val="00A62DAB"/>
    <w:rsid w:val="00A63D46"/>
    <w:rsid w:val="00A66FAA"/>
    <w:rsid w:val="00A6777F"/>
    <w:rsid w:val="00A711C3"/>
    <w:rsid w:val="00A734A9"/>
    <w:rsid w:val="00A740C0"/>
    <w:rsid w:val="00A74538"/>
    <w:rsid w:val="00A75B4C"/>
    <w:rsid w:val="00A76368"/>
    <w:rsid w:val="00A76FE4"/>
    <w:rsid w:val="00A80949"/>
    <w:rsid w:val="00A84F9E"/>
    <w:rsid w:val="00A84FDA"/>
    <w:rsid w:val="00A90667"/>
    <w:rsid w:val="00A956ED"/>
    <w:rsid w:val="00A96EC3"/>
    <w:rsid w:val="00AA073B"/>
    <w:rsid w:val="00AA3B84"/>
    <w:rsid w:val="00AA4219"/>
    <w:rsid w:val="00AA4221"/>
    <w:rsid w:val="00AA4A4B"/>
    <w:rsid w:val="00AA5EF5"/>
    <w:rsid w:val="00AB10EF"/>
    <w:rsid w:val="00AB325C"/>
    <w:rsid w:val="00AB474C"/>
    <w:rsid w:val="00AB4A08"/>
    <w:rsid w:val="00AB5427"/>
    <w:rsid w:val="00AB606C"/>
    <w:rsid w:val="00AB6345"/>
    <w:rsid w:val="00AB6631"/>
    <w:rsid w:val="00AC25DF"/>
    <w:rsid w:val="00AC4A23"/>
    <w:rsid w:val="00AC6B73"/>
    <w:rsid w:val="00AC6EED"/>
    <w:rsid w:val="00AD1FF9"/>
    <w:rsid w:val="00AD24A6"/>
    <w:rsid w:val="00AD6615"/>
    <w:rsid w:val="00AD7C3D"/>
    <w:rsid w:val="00AE1FA1"/>
    <w:rsid w:val="00AE348F"/>
    <w:rsid w:val="00AE584C"/>
    <w:rsid w:val="00AE77DC"/>
    <w:rsid w:val="00AF1DD0"/>
    <w:rsid w:val="00AF24AD"/>
    <w:rsid w:val="00AF36F2"/>
    <w:rsid w:val="00AF3A7C"/>
    <w:rsid w:val="00AF5FAA"/>
    <w:rsid w:val="00AF6BBC"/>
    <w:rsid w:val="00B00AB8"/>
    <w:rsid w:val="00B02B6C"/>
    <w:rsid w:val="00B03FAA"/>
    <w:rsid w:val="00B054D3"/>
    <w:rsid w:val="00B07CA9"/>
    <w:rsid w:val="00B1215D"/>
    <w:rsid w:val="00B1557A"/>
    <w:rsid w:val="00B1703E"/>
    <w:rsid w:val="00B20527"/>
    <w:rsid w:val="00B209BD"/>
    <w:rsid w:val="00B21532"/>
    <w:rsid w:val="00B21FD1"/>
    <w:rsid w:val="00B221E0"/>
    <w:rsid w:val="00B22B4A"/>
    <w:rsid w:val="00B23DC0"/>
    <w:rsid w:val="00B27A1B"/>
    <w:rsid w:val="00B32371"/>
    <w:rsid w:val="00B32659"/>
    <w:rsid w:val="00B34266"/>
    <w:rsid w:val="00B35F3C"/>
    <w:rsid w:val="00B36A91"/>
    <w:rsid w:val="00B37159"/>
    <w:rsid w:val="00B40BE7"/>
    <w:rsid w:val="00B40D00"/>
    <w:rsid w:val="00B41595"/>
    <w:rsid w:val="00B427DB"/>
    <w:rsid w:val="00B43736"/>
    <w:rsid w:val="00B43ED1"/>
    <w:rsid w:val="00B45E0A"/>
    <w:rsid w:val="00B47CD8"/>
    <w:rsid w:val="00B5003F"/>
    <w:rsid w:val="00B5043B"/>
    <w:rsid w:val="00B532CA"/>
    <w:rsid w:val="00B615CA"/>
    <w:rsid w:val="00B648A9"/>
    <w:rsid w:val="00B64B6E"/>
    <w:rsid w:val="00B70634"/>
    <w:rsid w:val="00B719BE"/>
    <w:rsid w:val="00B76FF5"/>
    <w:rsid w:val="00B77169"/>
    <w:rsid w:val="00B7726D"/>
    <w:rsid w:val="00B85EB2"/>
    <w:rsid w:val="00B87003"/>
    <w:rsid w:val="00B873AB"/>
    <w:rsid w:val="00B879BA"/>
    <w:rsid w:val="00B9000D"/>
    <w:rsid w:val="00B927D1"/>
    <w:rsid w:val="00B94D3B"/>
    <w:rsid w:val="00B95038"/>
    <w:rsid w:val="00B952B0"/>
    <w:rsid w:val="00B96580"/>
    <w:rsid w:val="00B965DB"/>
    <w:rsid w:val="00BA2FBE"/>
    <w:rsid w:val="00BA3269"/>
    <w:rsid w:val="00BA7118"/>
    <w:rsid w:val="00BB0629"/>
    <w:rsid w:val="00BB344A"/>
    <w:rsid w:val="00BB6303"/>
    <w:rsid w:val="00BB6FD6"/>
    <w:rsid w:val="00BB7215"/>
    <w:rsid w:val="00BB7BCA"/>
    <w:rsid w:val="00BC04C6"/>
    <w:rsid w:val="00BC0DC3"/>
    <w:rsid w:val="00BC1114"/>
    <w:rsid w:val="00BC1596"/>
    <w:rsid w:val="00BC3267"/>
    <w:rsid w:val="00BC42C7"/>
    <w:rsid w:val="00BC6089"/>
    <w:rsid w:val="00BC6BE4"/>
    <w:rsid w:val="00BD0A2A"/>
    <w:rsid w:val="00BD0BC4"/>
    <w:rsid w:val="00BD0DDE"/>
    <w:rsid w:val="00BD3D95"/>
    <w:rsid w:val="00BD4B5A"/>
    <w:rsid w:val="00BD4D36"/>
    <w:rsid w:val="00BE0055"/>
    <w:rsid w:val="00BE1639"/>
    <w:rsid w:val="00BE58AB"/>
    <w:rsid w:val="00BF183A"/>
    <w:rsid w:val="00BF1E6C"/>
    <w:rsid w:val="00BF3DBB"/>
    <w:rsid w:val="00BF4603"/>
    <w:rsid w:val="00BF5238"/>
    <w:rsid w:val="00BF7FD6"/>
    <w:rsid w:val="00C004BF"/>
    <w:rsid w:val="00C01A25"/>
    <w:rsid w:val="00C01BD6"/>
    <w:rsid w:val="00C01F0B"/>
    <w:rsid w:val="00C076CE"/>
    <w:rsid w:val="00C07BD3"/>
    <w:rsid w:val="00C13D6F"/>
    <w:rsid w:val="00C1508F"/>
    <w:rsid w:val="00C17D9B"/>
    <w:rsid w:val="00C20242"/>
    <w:rsid w:val="00C20587"/>
    <w:rsid w:val="00C20714"/>
    <w:rsid w:val="00C22B2E"/>
    <w:rsid w:val="00C23DC9"/>
    <w:rsid w:val="00C248D2"/>
    <w:rsid w:val="00C25918"/>
    <w:rsid w:val="00C4113A"/>
    <w:rsid w:val="00C4243D"/>
    <w:rsid w:val="00C42C8C"/>
    <w:rsid w:val="00C479B0"/>
    <w:rsid w:val="00C47F9B"/>
    <w:rsid w:val="00C51EBE"/>
    <w:rsid w:val="00C5397B"/>
    <w:rsid w:val="00C55053"/>
    <w:rsid w:val="00C56002"/>
    <w:rsid w:val="00C56B01"/>
    <w:rsid w:val="00C61EAE"/>
    <w:rsid w:val="00C65D2C"/>
    <w:rsid w:val="00C66D42"/>
    <w:rsid w:val="00C66E88"/>
    <w:rsid w:val="00C67B3D"/>
    <w:rsid w:val="00C70B77"/>
    <w:rsid w:val="00C7106B"/>
    <w:rsid w:val="00C72E05"/>
    <w:rsid w:val="00C7377F"/>
    <w:rsid w:val="00C74598"/>
    <w:rsid w:val="00C766E7"/>
    <w:rsid w:val="00C76B81"/>
    <w:rsid w:val="00C774C8"/>
    <w:rsid w:val="00C800D0"/>
    <w:rsid w:val="00C80CBA"/>
    <w:rsid w:val="00C8241E"/>
    <w:rsid w:val="00C8327A"/>
    <w:rsid w:val="00C835AA"/>
    <w:rsid w:val="00C86F79"/>
    <w:rsid w:val="00C87BB4"/>
    <w:rsid w:val="00C87BF6"/>
    <w:rsid w:val="00C904A7"/>
    <w:rsid w:val="00C90B46"/>
    <w:rsid w:val="00C9167C"/>
    <w:rsid w:val="00C93191"/>
    <w:rsid w:val="00C934FC"/>
    <w:rsid w:val="00C95140"/>
    <w:rsid w:val="00CA2CE3"/>
    <w:rsid w:val="00CA56FE"/>
    <w:rsid w:val="00CA5F87"/>
    <w:rsid w:val="00CA7D76"/>
    <w:rsid w:val="00CA7E6C"/>
    <w:rsid w:val="00CB10F6"/>
    <w:rsid w:val="00CB1606"/>
    <w:rsid w:val="00CB180B"/>
    <w:rsid w:val="00CB586C"/>
    <w:rsid w:val="00CB6380"/>
    <w:rsid w:val="00CC1555"/>
    <w:rsid w:val="00CC1CF2"/>
    <w:rsid w:val="00CC1E9F"/>
    <w:rsid w:val="00CC2BDA"/>
    <w:rsid w:val="00CC3994"/>
    <w:rsid w:val="00CC4AD0"/>
    <w:rsid w:val="00CC687D"/>
    <w:rsid w:val="00CD21C0"/>
    <w:rsid w:val="00CD363B"/>
    <w:rsid w:val="00CD5671"/>
    <w:rsid w:val="00CD720F"/>
    <w:rsid w:val="00CD76F8"/>
    <w:rsid w:val="00CE0CEF"/>
    <w:rsid w:val="00CE1FBC"/>
    <w:rsid w:val="00CE394B"/>
    <w:rsid w:val="00CE485E"/>
    <w:rsid w:val="00CE5B01"/>
    <w:rsid w:val="00CF1D40"/>
    <w:rsid w:val="00CF240B"/>
    <w:rsid w:val="00CF24E6"/>
    <w:rsid w:val="00CF2D19"/>
    <w:rsid w:val="00CF620E"/>
    <w:rsid w:val="00D036A2"/>
    <w:rsid w:val="00D042E7"/>
    <w:rsid w:val="00D044C0"/>
    <w:rsid w:val="00D049BC"/>
    <w:rsid w:val="00D05F60"/>
    <w:rsid w:val="00D065CF"/>
    <w:rsid w:val="00D06BF4"/>
    <w:rsid w:val="00D06C85"/>
    <w:rsid w:val="00D07110"/>
    <w:rsid w:val="00D0743A"/>
    <w:rsid w:val="00D07C31"/>
    <w:rsid w:val="00D10048"/>
    <w:rsid w:val="00D10129"/>
    <w:rsid w:val="00D11091"/>
    <w:rsid w:val="00D13F8E"/>
    <w:rsid w:val="00D14838"/>
    <w:rsid w:val="00D20195"/>
    <w:rsid w:val="00D21DA8"/>
    <w:rsid w:val="00D300E8"/>
    <w:rsid w:val="00D34404"/>
    <w:rsid w:val="00D35AC5"/>
    <w:rsid w:val="00D40FF7"/>
    <w:rsid w:val="00D41AE4"/>
    <w:rsid w:val="00D426D5"/>
    <w:rsid w:val="00D42E07"/>
    <w:rsid w:val="00D44984"/>
    <w:rsid w:val="00D452F9"/>
    <w:rsid w:val="00D477FD"/>
    <w:rsid w:val="00D4793C"/>
    <w:rsid w:val="00D50B29"/>
    <w:rsid w:val="00D52051"/>
    <w:rsid w:val="00D53545"/>
    <w:rsid w:val="00D53A51"/>
    <w:rsid w:val="00D53DC9"/>
    <w:rsid w:val="00D560DB"/>
    <w:rsid w:val="00D569D5"/>
    <w:rsid w:val="00D56C56"/>
    <w:rsid w:val="00D61225"/>
    <w:rsid w:val="00D61593"/>
    <w:rsid w:val="00D63D18"/>
    <w:rsid w:val="00D64BB2"/>
    <w:rsid w:val="00D66A37"/>
    <w:rsid w:val="00D67D98"/>
    <w:rsid w:val="00D67FDB"/>
    <w:rsid w:val="00D71533"/>
    <w:rsid w:val="00D7298C"/>
    <w:rsid w:val="00D7369C"/>
    <w:rsid w:val="00D77D63"/>
    <w:rsid w:val="00D77DA5"/>
    <w:rsid w:val="00D8541E"/>
    <w:rsid w:val="00D85CBC"/>
    <w:rsid w:val="00D8640E"/>
    <w:rsid w:val="00D90035"/>
    <w:rsid w:val="00D92925"/>
    <w:rsid w:val="00D92BFF"/>
    <w:rsid w:val="00D938AD"/>
    <w:rsid w:val="00D94E67"/>
    <w:rsid w:val="00D95036"/>
    <w:rsid w:val="00D95F6A"/>
    <w:rsid w:val="00D968C5"/>
    <w:rsid w:val="00DA0471"/>
    <w:rsid w:val="00DA6F5E"/>
    <w:rsid w:val="00DB1727"/>
    <w:rsid w:val="00DB199F"/>
    <w:rsid w:val="00DB210A"/>
    <w:rsid w:val="00DB38F0"/>
    <w:rsid w:val="00DB40C0"/>
    <w:rsid w:val="00DB52F4"/>
    <w:rsid w:val="00DB6314"/>
    <w:rsid w:val="00DB7F0D"/>
    <w:rsid w:val="00DC52A0"/>
    <w:rsid w:val="00DC6C3B"/>
    <w:rsid w:val="00DC7971"/>
    <w:rsid w:val="00DD0464"/>
    <w:rsid w:val="00DD152B"/>
    <w:rsid w:val="00DD1A8D"/>
    <w:rsid w:val="00DD2A10"/>
    <w:rsid w:val="00DD30E8"/>
    <w:rsid w:val="00DD49BE"/>
    <w:rsid w:val="00DD74D1"/>
    <w:rsid w:val="00DD7F5D"/>
    <w:rsid w:val="00DE0E94"/>
    <w:rsid w:val="00DE1128"/>
    <w:rsid w:val="00DE1239"/>
    <w:rsid w:val="00DE1F4D"/>
    <w:rsid w:val="00DE3BAF"/>
    <w:rsid w:val="00DE6E18"/>
    <w:rsid w:val="00DF094B"/>
    <w:rsid w:val="00DF10DC"/>
    <w:rsid w:val="00DF18CC"/>
    <w:rsid w:val="00DF262B"/>
    <w:rsid w:val="00DF597B"/>
    <w:rsid w:val="00DF65AA"/>
    <w:rsid w:val="00DF669F"/>
    <w:rsid w:val="00E00DDC"/>
    <w:rsid w:val="00E03C32"/>
    <w:rsid w:val="00E03CCB"/>
    <w:rsid w:val="00E03D75"/>
    <w:rsid w:val="00E0411A"/>
    <w:rsid w:val="00E0467D"/>
    <w:rsid w:val="00E05367"/>
    <w:rsid w:val="00E1211F"/>
    <w:rsid w:val="00E126B8"/>
    <w:rsid w:val="00E12FE3"/>
    <w:rsid w:val="00E1334E"/>
    <w:rsid w:val="00E1553B"/>
    <w:rsid w:val="00E15AB3"/>
    <w:rsid w:val="00E21FDD"/>
    <w:rsid w:val="00E2233E"/>
    <w:rsid w:val="00E2399C"/>
    <w:rsid w:val="00E277DB"/>
    <w:rsid w:val="00E306FE"/>
    <w:rsid w:val="00E30D42"/>
    <w:rsid w:val="00E30E59"/>
    <w:rsid w:val="00E34310"/>
    <w:rsid w:val="00E3433A"/>
    <w:rsid w:val="00E349CB"/>
    <w:rsid w:val="00E35B5B"/>
    <w:rsid w:val="00E361A3"/>
    <w:rsid w:val="00E3661B"/>
    <w:rsid w:val="00E37346"/>
    <w:rsid w:val="00E41E78"/>
    <w:rsid w:val="00E42C29"/>
    <w:rsid w:val="00E4378A"/>
    <w:rsid w:val="00E43B11"/>
    <w:rsid w:val="00E43DDB"/>
    <w:rsid w:val="00E44707"/>
    <w:rsid w:val="00E45891"/>
    <w:rsid w:val="00E458F4"/>
    <w:rsid w:val="00E45FAF"/>
    <w:rsid w:val="00E47006"/>
    <w:rsid w:val="00E4777B"/>
    <w:rsid w:val="00E47916"/>
    <w:rsid w:val="00E50FB7"/>
    <w:rsid w:val="00E53955"/>
    <w:rsid w:val="00E564D0"/>
    <w:rsid w:val="00E57116"/>
    <w:rsid w:val="00E57A54"/>
    <w:rsid w:val="00E60024"/>
    <w:rsid w:val="00E650DC"/>
    <w:rsid w:val="00E6785B"/>
    <w:rsid w:val="00E67935"/>
    <w:rsid w:val="00E7029D"/>
    <w:rsid w:val="00E7041A"/>
    <w:rsid w:val="00E7289F"/>
    <w:rsid w:val="00E72EE1"/>
    <w:rsid w:val="00E7358F"/>
    <w:rsid w:val="00E74E75"/>
    <w:rsid w:val="00E74FBB"/>
    <w:rsid w:val="00E76BA2"/>
    <w:rsid w:val="00E77EAB"/>
    <w:rsid w:val="00E802E2"/>
    <w:rsid w:val="00E82017"/>
    <w:rsid w:val="00E83E27"/>
    <w:rsid w:val="00E87001"/>
    <w:rsid w:val="00E9003B"/>
    <w:rsid w:val="00E9784B"/>
    <w:rsid w:val="00E97B8F"/>
    <w:rsid w:val="00E97C19"/>
    <w:rsid w:val="00EA061D"/>
    <w:rsid w:val="00EA06B6"/>
    <w:rsid w:val="00EA0F7C"/>
    <w:rsid w:val="00EA19A7"/>
    <w:rsid w:val="00EA2670"/>
    <w:rsid w:val="00EA3999"/>
    <w:rsid w:val="00EA4109"/>
    <w:rsid w:val="00EA64E8"/>
    <w:rsid w:val="00EA7998"/>
    <w:rsid w:val="00EA7EC0"/>
    <w:rsid w:val="00EB0AB3"/>
    <w:rsid w:val="00EB688D"/>
    <w:rsid w:val="00EC06C7"/>
    <w:rsid w:val="00EC3280"/>
    <w:rsid w:val="00EC4A8F"/>
    <w:rsid w:val="00EC6DBB"/>
    <w:rsid w:val="00ED3960"/>
    <w:rsid w:val="00ED487F"/>
    <w:rsid w:val="00ED4B21"/>
    <w:rsid w:val="00ED4C0B"/>
    <w:rsid w:val="00ED5CD2"/>
    <w:rsid w:val="00ED6879"/>
    <w:rsid w:val="00EE22E2"/>
    <w:rsid w:val="00EE389F"/>
    <w:rsid w:val="00EE396A"/>
    <w:rsid w:val="00EE3F12"/>
    <w:rsid w:val="00EE4CE2"/>
    <w:rsid w:val="00EE61EC"/>
    <w:rsid w:val="00EE71D7"/>
    <w:rsid w:val="00EF1048"/>
    <w:rsid w:val="00EF300D"/>
    <w:rsid w:val="00EF33A2"/>
    <w:rsid w:val="00EF3A6C"/>
    <w:rsid w:val="00EF49A6"/>
    <w:rsid w:val="00F01541"/>
    <w:rsid w:val="00F02103"/>
    <w:rsid w:val="00F02544"/>
    <w:rsid w:val="00F039A7"/>
    <w:rsid w:val="00F040A1"/>
    <w:rsid w:val="00F040B6"/>
    <w:rsid w:val="00F0501C"/>
    <w:rsid w:val="00F05DAE"/>
    <w:rsid w:val="00F0618E"/>
    <w:rsid w:val="00F06D38"/>
    <w:rsid w:val="00F111D4"/>
    <w:rsid w:val="00F1123A"/>
    <w:rsid w:val="00F113BA"/>
    <w:rsid w:val="00F115F0"/>
    <w:rsid w:val="00F135F5"/>
    <w:rsid w:val="00F15CDA"/>
    <w:rsid w:val="00F16172"/>
    <w:rsid w:val="00F22363"/>
    <w:rsid w:val="00F25279"/>
    <w:rsid w:val="00F2577E"/>
    <w:rsid w:val="00F27280"/>
    <w:rsid w:val="00F273B8"/>
    <w:rsid w:val="00F27A6B"/>
    <w:rsid w:val="00F30088"/>
    <w:rsid w:val="00F314F0"/>
    <w:rsid w:val="00F317DF"/>
    <w:rsid w:val="00F32251"/>
    <w:rsid w:val="00F34E3F"/>
    <w:rsid w:val="00F35F78"/>
    <w:rsid w:val="00F36EC5"/>
    <w:rsid w:val="00F40406"/>
    <w:rsid w:val="00F418D7"/>
    <w:rsid w:val="00F42021"/>
    <w:rsid w:val="00F4472E"/>
    <w:rsid w:val="00F45C2B"/>
    <w:rsid w:val="00F46750"/>
    <w:rsid w:val="00F47E0C"/>
    <w:rsid w:val="00F51789"/>
    <w:rsid w:val="00F53754"/>
    <w:rsid w:val="00F55082"/>
    <w:rsid w:val="00F55384"/>
    <w:rsid w:val="00F554B2"/>
    <w:rsid w:val="00F56019"/>
    <w:rsid w:val="00F56330"/>
    <w:rsid w:val="00F603DB"/>
    <w:rsid w:val="00F6052E"/>
    <w:rsid w:val="00F60822"/>
    <w:rsid w:val="00F63AA2"/>
    <w:rsid w:val="00F63FC9"/>
    <w:rsid w:val="00F644D7"/>
    <w:rsid w:val="00F64A09"/>
    <w:rsid w:val="00F66669"/>
    <w:rsid w:val="00F66682"/>
    <w:rsid w:val="00F66AFE"/>
    <w:rsid w:val="00F72128"/>
    <w:rsid w:val="00F72B20"/>
    <w:rsid w:val="00F75E1E"/>
    <w:rsid w:val="00F77444"/>
    <w:rsid w:val="00F778C8"/>
    <w:rsid w:val="00F77DA9"/>
    <w:rsid w:val="00F810FB"/>
    <w:rsid w:val="00F82654"/>
    <w:rsid w:val="00F82BA4"/>
    <w:rsid w:val="00F85114"/>
    <w:rsid w:val="00F85173"/>
    <w:rsid w:val="00F909B4"/>
    <w:rsid w:val="00F9113C"/>
    <w:rsid w:val="00F91BD2"/>
    <w:rsid w:val="00F94227"/>
    <w:rsid w:val="00F95030"/>
    <w:rsid w:val="00F9514E"/>
    <w:rsid w:val="00FA12A7"/>
    <w:rsid w:val="00FA251B"/>
    <w:rsid w:val="00FA2AB4"/>
    <w:rsid w:val="00FA46F1"/>
    <w:rsid w:val="00FA628E"/>
    <w:rsid w:val="00FB163D"/>
    <w:rsid w:val="00FB2C26"/>
    <w:rsid w:val="00FB49F2"/>
    <w:rsid w:val="00FC3530"/>
    <w:rsid w:val="00FC5039"/>
    <w:rsid w:val="00FC60E4"/>
    <w:rsid w:val="00FC6BE8"/>
    <w:rsid w:val="00FD1494"/>
    <w:rsid w:val="00FD1895"/>
    <w:rsid w:val="00FD53CB"/>
    <w:rsid w:val="00FD6EC8"/>
    <w:rsid w:val="00FD75DD"/>
    <w:rsid w:val="00FD77A8"/>
    <w:rsid w:val="00FE10B2"/>
    <w:rsid w:val="00FE3551"/>
    <w:rsid w:val="00FE357C"/>
    <w:rsid w:val="00FE421E"/>
    <w:rsid w:val="00FF0947"/>
    <w:rsid w:val="00FF2041"/>
    <w:rsid w:val="00FF4075"/>
    <w:rsid w:val="00FF4B5B"/>
    <w:rsid w:val="00FF545D"/>
    <w:rsid w:val="00FF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306EC"/>
  <w15:docId w15:val="{F43274A2-9E78-4E45-90D4-F1F99E23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F1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CB2C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2C0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qFormat/>
    <w:rsid w:val="00AD2F10"/>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9Char">
    <w:name w:val="Heading 9 Char"/>
    <w:basedOn w:val="DefaultParagraphFont"/>
    <w:link w:val="Heading9"/>
    <w:rsid w:val="00AD2F10"/>
    <w:rPr>
      <w:rFonts w:ascii="Arial" w:eastAsia="Times New Roman" w:hAnsi="Arial" w:cs="Arial"/>
    </w:rPr>
  </w:style>
  <w:style w:type="paragraph" w:styleId="Subtitle">
    <w:name w:val="Subtitle"/>
    <w:basedOn w:val="Normal"/>
    <w:next w:val="Normal"/>
    <w:link w:val="SubtitleChar"/>
    <w:uiPriority w:val="11"/>
    <w:qFormat/>
    <w:pPr>
      <w:jc w:val="center"/>
    </w:pPr>
    <w:rPr>
      <w:b/>
    </w:rPr>
  </w:style>
  <w:style w:type="character" w:customStyle="1" w:styleId="SubtitleChar">
    <w:name w:val="Subtitle Char"/>
    <w:basedOn w:val="DefaultParagraphFont"/>
    <w:link w:val="Subtitle"/>
    <w:rsid w:val="00AD2F10"/>
    <w:rPr>
      <w:rFonts w:ascii=".VnTimeH" w:eastAsia="Times New Roman" w:hAnsi=".VnTimeH" w:cs=".VnTimeH"/>
      <w:b/>
      <w:bCs/>
      <w:sz w:val="28"/>
      <w:szCs w:val="28"/>
    </w:rPr>
  </w:style>
  <w:style w:type="paragraph" w:styleId="BodyTextIndent">
    <w:name w:val="Body Text Indent"/>
    <w:basedOn w:val="Normal"/>
    <w:link w:val="BodyTextIndentChar"/>
    <w:unhideWhenUsed/>
    <w:rsid w:val="00AD2F10"/>
    <w:pPr>
      <w:ind w:right="-291" w:firstLine="720"/>
      <w:jc w:val="both"/>
    </w:pPr>
    <w:rPr>
      <w:rFonts w:ascii=".VnTime" w:hAnsi=".VnTime"/>
      <w:szCs w:val="20"/>
    </w:rPr>
  </w:style>
  <w:style w:type="character" w:customStyle="1" w:styleId="BodyTextIndentChar">
    <w:name w:val="Body Text Indent Char"/>
    <w:basedOn w:val="DefaultParagraphFont"/>
    <w:link w:val="BodyTextIndent"/>
    <w:rsid w:val="00AD2F10"/>
    <w:rPr>
      <w:rFonts w:ascii=".VnTime" w:eastAsia="Times New Roman" w:hAnsi=".VnTime" w:cs="Times New Roman"/>
      <w:sz w:val="28"/>
      <w:szCs w:val="20"/>
    </w:rPr>
  </w:style>
  <w:style w:type="character" w:styleId="Hyperlink">
    <w:name w:val="Hyperlink"/>
    <w:basedOn w:val="DefaultParagraphFont"/>
    <w:uiPriority w:val="99"/>
    <w:unhideWhenUsed/>
    <w:rsid w:val="00AD2F10"/>
    <w:rPr>
      <w:color w:val="0000FF"/>
      <w:u w:val="single"/>
    </w:rPr>
  </w:style>
  <w:style w:type="paragraph" w:customStyle="1" w:styleId="EMPTYCELLSTYLE">
    <w:name w:val="EMPTY_CELL_STYLE"/>
    <w:qFormat/>
    <w:rsid w:val="00285B7B"/>
    <w:rPr>
      <w:sz w:val="1"/>
      <w:szCs w:val="20"/>
    </w:rPr>
  </w:style>
  <w:style w:type="paragraph" w:styleId="Header">
    <w:name w:val="header"/>
    <w:basedOn w:val="Normal"/>
    <w:link w:val="HeaderChar"/>
    <w:uiPriority w:val="99"/>
    <w:unhideWhenUsed/>
    <w:rsid w:val="005B0E72"/>
    <w:pPr>
      <w:tabs>
        <w:tab w:val="center" w:pos="4680"/>
        <w:tab w:val="right" w:pos="9360"/>
      </w:tabs>
    </w:pPr>
  </w:style>
  <w:style w:type="character" w:customStyle="1" w:styleId="HeaderChar">
    <w:name w:val="Header Char"/>
    <w:basedOn w:val="DefaultParagraphFont"/>
    <w:link w:val="Header"/>
    <w:uiPriority w:val="99"/>
    <w:rsid w:val="005B0E7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B0E72"/>
    <w:pPr>
      <w:tabs>
        <w:tab w:val="center" w:pos="4680"/>
        <w:tab w:val="right" w:pos="9360"/>
      </w:tabs>
    </w:pPr>
  </w:style>
  <w:style w:type="character" w:customStyle="1" w:styleId="FooterChar">
    <w:name w:val="Footer Char"/>
    <w:basedOn w:val="DefaultParagraphFont"/>
    <w:link w:val="Footer"/>
    <w:uiPriority w:val="99"/>
    <w:rsid w:val="005B0E72"/>
    <w:rPr>
      <w:rFonts w:ascii="Times New Roman" w:eastAsia="Times New Roman" w:hAnsi="Times New Roman" w:cs="Times New Roman"/>
      <w:sz w:val="28"/>
      <w:szCs w:val="28"/>
    </w:rPr>
  </w:style>
  <w:style w:type="table" w:styleId="TableGrid">
    <w:name w:val="Table Grid"/>
    <w:basedOn w:val="TableNormal"/>
    <w:uiPriority w:val="39"/>
    <w:rsid w:val="007456D6"/>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Footnote Text Char Char Char Char Char Char Ch Char Char Char,fn,fn Char,Char Char13,f, Char Char,ft,single space,footnote text,Geneva 9,ADB,Зн"/>
    <w:basedOn w:val="Normal"/>
    <w:link w:val="FootnoteTextChar"/>
    <w:uiPriority w:val="99"/>
    <w:qFormat/>
    <w:rsid w:val="007456D6"/>
    <w:rPr>
      <w:rFonts w:eastAsia="Calibri"/>
      <w:sz w:val="24"/>
      <w:szCs w:val="24"/>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7456D6"/>
    <w:rPr>
      <w:rFonts w:ascii="Times New Roman" w:eastAsia="Calibri" w:hAnsi="Times New Roman" w:cs="Times New Roman"/>
      <w:sz w:val="24"/>
      <w:szCs w:val="24"/>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10 p,4_,4"/>
    <w:basedOn w:val="DefaultParagraphFont"/>
    <w:link w:val="RefChar"/>
    <w:uiPriority w:val="99"/>
    <w:qFormat/>
    <w:rsid w:val="007456D6"/>
    <w:rPr>
      <w:vertAlign w:val="superscript"/>
    </w:rPr>
  </w:style>
  <w:style w:type="paragraph" w:styleId="NormalWeb">
    <w:name w:val="Normal (Web)"/>
    <w:basedOn w:val="Normal"/>
    <w:uiPriority w:val="99"/>
    <w:unhideWhenUsed/>
    <w:rsid w:val="007456D6"/>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CB2C00"/>
    <w:rPr>
      <w:rFonts w:asciiTheme="majorHAnsi" w:eastAsiaTheme="majorEastAsia" w:hAnsiTheme="majorHAnsi" w:cstheme="majorBidi"/>
      <w:b/>
      <w:bCs/>
      <w:color w:val="4F81BD" w:themeColor="accent1"/>
      <w:sz w:val="28"/>
      <w:szCs w:val="28"/>
    </w:rPr>
  </w:style>
  <w:style w:type="paragraph" w:styleId="BodyText2">
    <w:name w:val="Body Text 2"/>
    <w:basedOn w:val="Normal"/>
    <w:link w:val="BodyText2Char"/>
    <w:uiPriority w:val="99"/>
    <w:semiHidden/>
    <w:unhideWhenUsed/>
    <w:rsid w:val="00CB2C00"/>
    <w:pPr>
      <w:spacing w:after="120" w:line="480" w:lineRule="auto"/>
    </w:pPr>
  </w:style>
  <w:style w:type="character" w:customStyle="1" w:styleId="BodyText2Char">
    <w:name w:val="Body Text 2 Char"/>
    <w:basedOn w:val="DefaultParagraphFont"/>
    <w:link w:val="BodyText2"/>
    <w:uiPriority w:val="99"/>
    <w:semiHidden/>
    <w:rsid w:val="00CB2C00"/>
    <w:rPr>
      <w:rFonts w:ascii="Times New Roman" w:eastAsia="Times New Roman" w:hAnsi="Times New Roman" w:cs="Times New Roman"/>
      <w:sz w:val="28"/>
      <w:szCs w:val="28"/>
    </w:rPr>
  </w:style>
  <w:style w:type="paragraph" w:styleId="ListParagraph">
    <w:name w:val="List Paragraph"/>
    <w:aliases w:val="Hình"/>
    <w:basedOn w:val="Normal"/>
    <w:uiPriority w:val="34"/>
    <w:qFormat/>
    <w:rsid w:val="00CB2C00"/>
    <w:pPr>
      <w:ind w:left="720"/>
      <w:contextualSpacing/>
    </w:pPr>
  </w:style>
  <w:style w:type="paragraph" w:customStyle="1" w:styleId="Textbody">
    <w:name w:val="Text body"/>
    <w:basedOn w:val="Normal"/>
    <w:link w:val="TextbodyChar"/>
    <w:rsid w:val="00CB2C00"/>
    <w:pPr>
      <w:widowControl w:val="0"/>
      <w:suppressAutoHyphens/>
      <w:autoSpaceDN w:val="0"/>
      <w:spacing w:after="120"/>
      <w:jc w:val="both"/>
      <w:textAlignment w:val="baseline"/>
    </w:pPr>
    <w:rPr>
      <w:rFonts w:eastAsia="WenQuanYi Micro Hei" w:cs="Lohit Hindi"/>
      <w:kern w:val="3"/>
      <w:sz w:val="26"/>
      <w:szCs w:val="24"/>
      <w:lang w:eastAsia="zh-CN" w:bidi="hi-IN"/>
    </w:rPr>
  </w:style>
  <w:style w:type="paragraph" w:customStyle="1" w:styleId="Heading40">
    <w:name w:val="Heading4"/>
    <w:basedOn w:val="Heading4"/>
    <w:next w:val="Heading4"/>
    <w:link w:val="Heading4Char0"/>
    <w:autoRedefine/>
    <w:qFormat/>
    <w:rsid w:val="00CB2C00"/>
    <w:pPr>
      <w:keepLines w:val="0"/>
      <w:widowControl w:val="0"/>
      <w:numPr>
        <w:ilvl w:val="3"/>
      </w:numPr>
      <w:suppressAutoHyphens/>
      <w:autoSpaceDN w:val="0"/>
      <w:spacing w:before="0"/>
      <w:ind w:left="720"/>
      <w:jc w:val="both"/>
      <w:textAlignment w:val="baseline"/>
    </w:pPr>
    <w:rPr>
      <w:rFonts w:ascii="Times New Roman" w:eastAsia="WenQuanYi Micro Hei" w:hAnsi="Times New Roman" w:cs="Times New Roman"/>
      <w:i w:val="0"/>
      <w:color w:val="auto"/>
      <w:kern w:val="3"/>
      <w:lang w:eastAsia="zh-CN" w:bidi="hi-IN"/>
    </w:rPr>
  </w:style>
  <w:style w:type="character" w:customStyle="1" w:styleId="TextbodyChar">
    <w:name w:val="Text body Char"/>
    <w:basedOn w:val="DefaultParagraphFont"/>
    <w:link w:val="Textbody"/>
    <w:rsid w:val="00CB2C00"/>
    <w:rPr>
      <w:rFonts w:ascii="Times New Roman" w:eastAsia="WenQuanYi Micro Hei" w:hAnsi="Times New Roman" w:cs="Lohit Hindi"/>
      <w:kern w:val="3"/>
      <w:sz w:val="26"/>
      <w:szCs w:val="24"/>
      <w:lang w:eastAsia="zh-CN" w:bidi="hi-IN"/>
    </w:rPr>
  </w:style>
  <w:style w:type="character" w:customStyle="1" w:styleId="Heading4Char0">
    <w:name w:val="Heading4 Char"/>
    <w:basedOn w:val="TextbodyChar"/>
    <w:link w:val="Heading40"/>
    <w:rsid w:val="00CB2C00"/>
    <w:rPr>
      <w:rFonts w:ascii="Times New Roman" w:eastAsia="WenQuanYi Micro Hei" w:hAnsi="Times New Roman" w:cs="Times New Roman"/>
      <w:b/>
      <w:bCs/>
      <w:iCs/>
      <w:kern w:val="3"/>
      <w:sz w:val="28"/>
      <w:szCs w:val="28"/>
      <w:lang w:eastAsia="zh-CN" w:bidi="hi-IN"/>
    </w:rPr>
  </w:style>
  <w:style w:type="character" w:customStyle="1" w:styleId="Heading4Char">
    <w:name w:val="Heading 4 Char"/>
    <w:basedOn w:val="DefaultParagraphFont"/>
    <w:link w:val="Heading4"/>
    <w:uiPriority w:val="9"/>
    <w:rsid w:val="00CB2C00"/>
    <w:rPr>
      <w:rFonts w:asciiTheme="majorHAnsi" w:eastAsiaTheme="majorEastAsia" w:hAnsiTheme="majorHAnsi" w:cstheme="majorBidi"/>
      <w:b/>
      <w:bCs/>
      <w:i/>
      <w:iCs/>
      <w:color w:val="4F81BD" w:themeColor="accent1"/>
      <w:sz w:val="28"/>
      <w:szCs w:val="28"/>
    </w:rPr>
  </w:style>
  <w:style w:type="paragraph" w:styleId="BalloonText">
    <w:name w:val="Balloon Text"/>
    <w:basedOn w:val="Normal"/>
    <w:link w:val="BalloonTextChar"/>
    <w:semiHidden/>
    <w:unhideWhenUsed/>
    <w:rsid w:val="00CB2C00"/>
    <w:rPr>
      <w:rFonts w:ascii="Tahoma" w:hAnsi="Tahoma" w:cs="Tahoma"/>
      <w:sz w:val="16"/>
      <w:szCs w:val="16"/>
    </w:rPr>
  </w:style>
  <w:style w:type="character" w:customStyle="1" w:styleId="BalloonTextChar">
    <w:name w:val="Balloon Text Char"/>
    <w:basedOn w:val="DefaultParagraphFont"/>
    <w:link w:val="BalloonText"/>
    <w:semiHidden/>
    <w:rsid w:val="00CB2C0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B53FC"/>
    <w:rPr>
      <w:sz w:val="16"/>
      <w:szCs w:val="16"/>
    </w:rPr>
  </w:style>
  <w:style w:type="paragraph" w:styleId="CommentText">
    <w:name w:val="annotation text"/>
    <w:basedOn w:val="Normal"/>
    <w:link w:val="CommentTextChar"/>
    <w:uiPriority w:val="99"/>
    <w:unhideWhenUsed/>
    <w:qFormat/>
    <w:rsid w:val="001B53FC"/>
    <w:rPr>
      <w:sz w:val="20"/>
      <w:szCs w:val="20"/>
    </w:rPr>
  </w:style>
  <w:style w:type="character" w:customStyle="1" w:styleId="CommentTextChar">
    <w:name w:val="Comment Text Char"/>
    <w:basedOn w:val="DefaultParagraphFont"/>
    <w:link w:val="CommentText"/>
    <w:uiPriority w:val="99"/>
    <w:qFormat/>
    <w:rsid w:val="001B53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53FC"/>
    <w:rPr>
      <w:b/>
      <w:bCs/>
    </w:rPr>
  </w:style>
  <w:style w:type="character" w:customStyle="1" w:styleId="CommentSubjectChar">
    <w:name w:val="Comment Subject Char"/>
    <w:basedOn w:val="CommentTextChar"/>
    <w:link w:val="CommentSubject"/>
    <w:uiPriority w:val="99"/>
    <w:semiHidden/>
    <w:rsid w:val="001B53FC"/>
    <w:rPr>
      <w:rFonts w:ascii="Times New Roman" w:eastAsia="Times New Roman" w:hAnsi="Times New Roman" w:cs="Times New Roman"/>
      <w:b/>
      <w:bCs/>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C7524D"/>
    <w:pPr>
      <w:spacing w:after="160" w:line="240" w:lineRule="exact"/>
    </w:pPr>
    <w:rPr>
      <w:rFonts w:asciiTheme="minorHAnsi" w:eastAsiaTheme="minorHAnsi" w:hAnsiTheme="minorHAnsi" w:cstheme="minorBidi"/>
      <w:sz w:val="22"/>
      <w:szCs w:val="22"/>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122083"/>
    <w:pPr>
      <w:spacing w:after="160" w:line="240" w:lineRule="exact"/>
    </w:pPr>
    <w:rPr>
      <w:sz w:val="20"/>
      <w:szCs w:val="20"/>
      <w:vertAlign w:val="superscript"/>
    </w:rPr>
  </w:style>
  <w:style w:type="character" w:customStyle="1" w:styleId="text">
    <w:name w:val="text"/>
    <w:rsid w:val="006E3EA3"/>
  </w:style>
  <w:style w:type="character" w:customStyle="1" w:styleId="UnresolvedMention1">
    <w:name w:val="Unresolved Mention1"/>
    <w:basedOn w:val="DefaultParagraphFont"/>
    <w:uiPriority w:val="99"/>
    <w:semiHidden/>
    <w:unhideWhenUsed/>
    <w:rsid w:val="00B704ED"/>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2E3318"/>
    <w:rPr>
      <w:b/>
      <w:bCs/>
    </w:rPr>
  </w:style>
  <w:style w:type="table" w:customStyle="1" w:styleId="a1">
    <w:basedOn w:val="TableNormal"/>
    <w:rPr>
      <w:sz w:val="20"/>
      <w:szCs w:val="20"/>
    </w:rPr>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E361A3"/>
    <w:pPr>
      <w:spacing w:after="160" w:line="240" w:lineRule="exact"/>
    </w:pPr>
    <w:rPr>
      <w:vertAlign w:val="superscript"/>
    </w:rPr>
  </w:style>
  <w:style w:type="paragraph" w:customStyle="1" w:styleId="Default">
    <w:name w:val="Default"/>
    <w:uiPriority w:val="99"/>
    <w:rsid w:val="00E361A3"/>
    <w:pPr>
      <w:autoSpaceDE w:val="0"/>
      <w:autoSpaceDN w:val="0"/>
      <w:adjustRightInd w:val="0"/>
    </w:pPr>
    <w:rPr>
      <w:rFonts w:eastAsiaTheme="minorHAnsi"/>
      <w:color w:val="000000"/>
      <w:sz w:val="24"/>
      <w:szCs w:val="24"/>
      <w:lang w:val="vi-VN"/>
    </w:rPr>
  </w:style>
  <w:style w:type="character" w:styleId="UnresolvedMention">
    <w:name w:val="Unresolved Mention"/>
    <w:basedOn w:val="DefaultParagraphFont"/>
    <w:uiPriority w:val="99"/>
    <w:semiHidden/>
    <w:unhideWhenUsed/>
    <w:rsid w:val="00593BB8"/>
    <w:rPr>
      <w:color w:val="605E5C"/>
      <w:shd w:val="clear" w:color="auto" w:fill="E1DFDD"/>
    </w:rPr>
  </w:style>
  <w:style w:type="character" w:customStyle="1" w:styleId="dieuCharChar">
    <w:name w:val="dieu Char Char"/>
    <w:basedOn w:val="DefaultParagraphFont"/>
    <w:rsid w:val="000C1F78"/>
    <w:rPr>
      <w:b/>
      <w:color w:val="0000FF"/>
      <w:sz w:val="26"/>
      <w:szCs w:val="24"/>
      <w:lang w:val="en-US" w:eastAsia="en-US" w:bidi="ar-SA"/>
    </w:rPr>
  </w:style>
  <w:style w:type="character" w:customStyle="1" w:styleId="headsubmitlevel2">
    <w:name w:val="headsubmitlevel2"/>
    <w:basedOn w:val="DefaultParagraphFont"/>
    <w:rsid w:val="00052D83"/>
  </w:style>
  <w:style w:type="paragraph" w:customStyle="1" w:styleId="Normal2">
    <w:name w:val="Normal2"/>
    <w:uiPriority w:val="99"/>
    <w:rsid w:val="00C8241E"/>
    <w:pPr>
      <w:spacing w:before="100" w:after="100"/>
    </w:pPr>
    <w:rPr>
      <w:szCs w:val="20"/>
      <w:lang w:val="vi-VN" w:eastAsia="vi-VN"/>
    </w:rPr>
  </w:style>
  <w:style w:type="character" w:customStyle="1" w:styleId="normalchar1">
    <w:name w:val="normal__char1"/>
    <w:rsid w:val="00C8241E"/>
    <w:rPr>
      <w:rFonts w:ascii="Calibri" w:hAnsi="Calibri" w:cs="Calibri" w:hint="default"/>
      <w:sz w:val="22"/>
      <w:szCs w:val="22"/>
    </w:rPr>
  </w:style>
  <w:style w:type="character" w:styleId="Emphasis">
    <w:name w:val="Emphasis"/>
    <w:uiPriority w:val="20"/>
    <w:qFormat/>
    <w:rsid w:val="00DB7F0D"/>
    <w:rPr>
      <w:i/>
      <w:iCs/>
    </w:rPr>
  </w:style>
  <w:style w:type="paragraph" w:customStyle="1" w:styleId="Vanban">
    <w:name w:val="Van ban"/>
    <w:basedOn w:val="Normal"/>
    <w:link w:val="VanbanChar"/>
    <w:qFormat/>
    <w:rsid w:val="00DB7F0D"/>
    <w:pPr>
      <w:suppressAutoHyphens/>
      <w:spacing w:before="120" w:after="120" w:line="312" w:lineRule="auto"/>
      <w:ind w:firstLine="562"/>
      <w:jc w:val="both"/>
    </w:pPr>
    <w:rPr>
      <w:rFonts w:eastAsia="SimSun"/>
      <w:bCs/>
      <w:color w:val="000000"/>
      <w:spacing w:val="-4"/>
      <w:kern w:val="1"/>
      <w:szCs w:val="24"/>
      <w:lang w:val="vi-VN" w:eastAsia="zh-CN"/>
    </w:rPr>
  </w:style>
  <w:style w:type="character" w:customStyle="1" w:styleId="VanbanChar">
    <w:name w:val="Van ban Char"/>
    <w:link w:val="Vanban"/>
    <w:rsid w:val="00DB7F0D"/>
    <w:rPr>
      <w:rFonts w:eastAsia="SimSun"/>
      <w:bCs/>
      <w:color w:val="000000"/>
      <w:spacing w:val="-4"/>
      <w:kern w:val="1"/>
      <w:szCs w:val="24"/>
      <w:lang w:val="vi-VN" w:eastAsia="zh-CN"/>
    </w:rPr>
  </w:style>
  <w:style w:type="character" w:customStyle="1" w:styleId="st">
    <w:name w:val="st"/>
    <w:rsid w:val="0031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620">
      <w:bodyDiv w:val="1"/>
      <w:marLeft w:val="0"/>
      <w:marRight w:val="0"/>
      <w:marTop w:val="0"/>
      <w:marBottom w:val="0"/>
      <w:divBdr>
        <w:top w:val="none" w:sz="0" w:space="0" w:color="auto"/>
        <w:left w:val="none" w:sz="0" w:space="0" w:color="auto"/>
        <w:bottom w:val="none" w:sz="0" w:space="0" w:color="auto"/>
        <w:right w:val="none" w:sz="0" w:space="0" w:color="auto"/>
      </w:divBdr>
    </w:div>
    <w:div w:id="331685398">
      <w:bodyDiv w:val="1"/>
      <w:marLeft w:val="0"/>
      <w:marRight w:val="0"/>
      <w:marTop w:val="0"/>
      <w:marBottom w:val="0"/>
      <w:divBdr>
        <w:top w:val="none" w:sz="0" w:space="0" w:color="auto"/>
        <w:left w:val="none" w:sz="0" w:space="0" w:color="auto"/>
        <w:bottom w:val="none" w:sz="0" w:space="0" w:color="auto"/>
        <w:right w:val="none" w:sz="0" w:space="0" w:color="auto"/>
      </w:divBdr>
    </w:div>
    <w:div w:id="390542038">
      <w:bodyDiv w:val="1"/>
      <w:marLeft w:val="0"/>
      <w:marRight w:val="0"/>
      <w:marTop w:val="0"/>
      <w:marBottom w:val="0"/>
      <w:divBdr>
        <w:top w:val="none" w:sz="0" w:space="0" w:color="auto"/>
        <w:left w:val="none" w:sz="0" w:space="0" w:color="auto"/>
        <w:bottom w:val="none" w:sz="0" w:space="0" w:color="auto"/>
        <w:right w:val="none" w:sz="0" w:space="0" w:color="auto"/>
      </w:divBdr>
    </w:div>
    <w:div w:id="415133625">
      <w:bodyDiv w:val="1"/>
      <w:marLeft w:val="0"/>
      <w:marRight w:val="0"/>
      <w:marTop w:val="0"/>
      <w:marBottom w:val="0"/>
      <w:divBdr>
        <w:top w:val="none" w:sz="0" w:space="0" w:color="auto"/>
        <w:left w:val="none" w:sz="0" w:space="0" w:color="auto"/>
        <w:bottom w:val="none" w:sz="0" w:space="0" w:color="auto"/>
        <w:right w:val="none" w:sz="0" w:space="0" w:color="auto"/>
      </w:divBdr>
    </w:div>
    <w:div w:id="615522184">
      <w:bodyDiv w:val="1"/>
      <w:marLeft w:val="0"/>
      <w:marRight w:val="0"/>
      <w:marTop w:val="0"/>
      <w:marBottom w:val="0"/>
      <w:divBdr>
        <w:top w:val="none" w:sz="0" w:space="0" w:color="auto"/>
        <w:left w:val="none" w:sz="0" w:space="0" w:color="auto"/>
        <w:bottom w:val="none" w:sz="0" w:space="0" w:color="auto"/>
        <w:right w:val="none" w:sz="0" w:space="0" w:color="auto"/>
      </w:divBdr>
    </w:div>
    <w:div w:id="655691179">
      <w:bodyDiv w:val="1"/>
      <w:marLeft w:val="0"/>
      <w:marRight w:val="0"/>
      <w:marTop w:val="0"/>
      <w:marBottom w:val="0"/>
      <w:divBdr>
        <w:top w:val="none" w:sz="0" w:space="0" w:color="auto"/>
        <w:left w:val="none" w:sz="0" w:space="0" w:color="auto"/>
        <w:bottom w:val="none" w:sz="0" w:space="0" w:color="auto"/>
        <w:right w:val="none" w:sz="0" w:space="0" w:color="auto"/>
      </w:divBdr>
    </w:div>
    <w:div w:id="854467370">
      <w:bodyDiv w:val="1"/>
      <w:marLeft w:val="0"/>
      <w:marRight w:val="0"/>
      <w:marTop w:val="0"/>
      <w:marBottom w:val="0"/>
      <w:divBdr>
        <w:top w:val="none" w:sz="0" w:space="0" w:color="auto"/>
        <w:left w:val="none" w:sz="0" w:space="0" w:color="auto"/>
        <w:bottom w:val="none" w:sz="0" w:space="0" w:color="auto"/>
        <w:right w:val="none" w:sz="0" w:space="0" w:color="auto"/>
      </w:divBdr>
    </w:div>
    <w:div w:id="875317689">
      <w:bodyDiv w:val="1"/>
      <w:marLeft w:val="0"/>
      <w:marRight w:val="0"/>
      <w:marTop w:val="0"/>
      <w:marBottom w:val="0"/>
      <w:divBdr>
        <w:top w:val="none" w:sz="0" w:space="0" w:color="auto"/>
        <w:left w:val="none" w:sz="0" w:space="0" w:color="auto"/>
        <w:bottom w:val="none" w:sz="0" w:space="0" w:color="auto"/>
        <w:right w:val="none" w:sz="0" w:space="0" w:color="auto"/>
      </w:divBdr>
    </w:div>
    <w:div w:id="955134361">
      <w:bodyDiv w:val="1"/>
      <w:marLeft w:val="0"/>
      <w:marRight w:val="0"/>
      <w:marTop w:val="0"/>
      <w:marBottom w:val="0"/>
      <w:divBdr>
        <w:top w:val="none" w:sz="0" w:space="0" w:color="auto"/>
        <w:left w:val="none" w:sz="0" w:space="0" w:color="auto"/>
        <w:bottom w:val="none" w:sz="0" w:space="0" w:color="auto"/>
        <w:right w:val="none" w:sz="0" w:space="0" w:color="auto"/>
      </w:divBdr>
    </w:div>
    <w:div w:id="1059743441">
      <w:bodyDiv w:val="1"/>
      <w:marLeft w:val="0"/>
      <w:marRight w:val="0"/>
      <w:marTop w:val="0"/>
      <w:marBottom w:val="0"/>
      <w:divBdr>
        <w:top w:val="none" w:sz="0" w:space="0" w:color="auto"/>
        <w:left w:val="none" w:sz="0" w:space="0" w:color="auto"/>
        <w:bottom w:val="none" w:sz="0" w:space="0" w:color="auto"/>
        <w:right w:val="none" w:sz="0" w:space="0" w:color="auto"/>
      </w:divBdr>
    </w:div>
    <w:div w:id="1059791363">
      <w:bodyDiv w:val="1"/>
      <w:marLeft w:val="0"/>
      <w:marRight w:val="0"/>
      <w:marTop w:val="0"/>
      <w:marBottom w:val="0"/>
      <w:divBdr>
        <w:top w:val="none" w:sz="0" w:space="0" w:color="auto"/>
        <w:left w:val="none" w:sz="0" w:space="0" w:color="auto"/>
        <w:bottom w:val="none" w:sz="0" w:space="0" w:color="auto"/>
        <w:right w:val="none" w:sz="0" w:space="0" w:color="auto"/>
      </w:divBdr>
    </w:div>
    <w:div w:id="1099986782">
      <w:bodyDiv w:val="1"/>
      <w:marLeft w:val="0"/>
      <w:marRight w:val="0"/>
      <w:marTop w:val="0"/>
      <w:marBottom w:val="0"/>
      <w:divBdr>
        <w:top w:val="none" w:sz="0" w:space="0" w:color="auto"/>
        <w:left w:val="none" w:sz="0" w:space="0" w:color="auto"/>
        <w:bottom w:val="none" w:sz="0" w:space="0" w:color="auto"/>
        <w:right w:val="none" w:sz="0" w:space="0" w:color="auto"/>
      </w:divBdr>
    </w:div>
    <w:div w:id="1237395050">
      <w:bodyDiv w:val="1"/>
      <w:marLeft w:val="0"/>
      <w:marRight w:val="0"/>
      <w:marTop w:val="0"/>
      <w:marBottom w:val="0"/>
      <w:divBdr>
        <w:top w:val="none" w:sz="0" w:space="0" w:color="auto"/>
        <w:left w:val="none" w:sz="0" w:space="0" w:color="auto"/>
        <w:bottom w:val="none" w:sz="0" w:space="0" w:color="auto"/>
        <w:right w:val="none" w:sz="0" w:space="0" w:color="auto"/>
      </w:divBdr>
    </w:div>
    <w:div w:id="1258908224">
      <w:bodyDiv w:val="1"/>
      <w:marLeft w:val="0"/>
      <w:marRight w:val="0"/>
      <w:marTop w:val="0"/>
      <w:marBottom w:val="0"/>
      <w:divBdr>
        <w:top w:val="none" w:sz="0" w:space="0" w:color="auto"/>
        <w:left w:val="none" w:sz="0" w:space="0" w:color="auto"/>
        <w:bottom w:val="none" w:sz="0" w:space="0" w:color="auto"/>
        <w:right w:val="none" w:sz="0" w:space="0" w:color="auto"/>
      </w:divBdr>
    </w:div>
    <w:div w:id="1391460938">
      <w:bodyDiv w:val="1"/>
      <w:marLeft w:val="0"/>
      <w:marRight w:val="0"/>
      <w:marTop w:val="0"/>
      <w:marBottom w:val="0"/>
      <w:divBdr>
        <w:top w:val="none" w:sz="0" w:space="0" w:color="auto"/>
        <w:left w:val="none" w:sz="0" w:space="0" w:color="auto"/>
        <w:bottom w:val="none" w:sz="0" w:space="0" w:color="auto"/>
        <w:right w:val="none" w:sz="0" w:space="0" w:color="auto"/>
      </w:divBdr>
    </w:div>
    <w:div w:id="1614093746">
      <w:bodyDiv w:val="1"/>
      <w:marLeft w:val="0"/>
      <w:marRight w:val="0"/>
      <w:marTop w:val="0"/>
      <w:marBottom w:val="0"/>
      <w:divBdr>
        <w:top w:val="none" w:sz="0" w:space="0" w:color="auto"/>
        <w:left w:val="none" w:sz="0" w:space="0" w:color="auto"/>
        <w:bottom w:val="none" w:sz="0" w:space="0" w:color="auto"/>
        <w:right w:val="none" w:sz="0" w:space="0" w:color="auto"/>
      </w:divBdr>
    </w:div>
    <w:div w:id="1708021390">
      <w:bodyDiv w:val="1"/>
      <w:marLeft w:val="0"/>
      <w:marRight w:val="0"/>
      <w:marTop w:val="0"/>
      <w:marBottom w:val="0"/>
      <w:divBdr>
        <w:top w:val="none" w:sz="0" w:space="0" w:color="auto"/>
        <w:left w:val="none" w:sz="0" w:space="0" w:color="auto"/>
        <w:bottom w:val="none" w:sz="0" w:space="0" w:color="auto"/>
        <w:right w:val="none" w:sz="0" w:space="0" w:color="auto"/>
      </w:divBdr>
    </w:div>
    <w:div w:id="1743674686">
      <w:bodyDiv w:val="1"/>
      <w:marLeft w:val="0"/>
      <w:marRight w:val="0"/>
      <w:marTop w:val="0"/>
      <w:marBottom w:val="0"/>
      <w:divBdr>
        <w:top w:val="none" w:sz="0" w:space="0" w:color="auto"/>
        <w:left w:val="none" w:sz="0" w:space="0" w:color="auto"/>
        <w:bottom w:val="none" w:sz="0" w:space="0" w:color="auto"/>
        <w:right w:val="none" w:sz="0" w:space="0" w:color="auto"/>
      </w:divBdr>
    </w:div>
    <w:div w:id="1756709355">
      <w:bodyDiv w:val="1"/>
      <w:marLeft w:val="0"/>
      <w:marRight w:val="0"/>
      <w:marTop w:val="0"/>
      <w:marBottom w:val="0"/>
      <w:divBdr>
        <w:top w:val="none" w:sz="0" w:space="0" w:color="auto"/>
        <w:left w:val="none" w:sz="0" w:space="0" w:color="auto"/>
        <w:bottom w:val="none" w:sz="0" w:space="0" w:color="auto"/>
        <w:right w:val="none" w:sz="0" w:space="0" w:color="auto"/>
      </w:divBdr>
    </w:div>
    <w:div w:id="1785953344">
      <w:bodyDiv w:val="1"/>
      <w:marLeft w:val="0"/>
      <w:marRight w:val="0"/>
      <w:marTop w:val="0"/>
      <w:marBottom w:val="0"/>
      <w:divBdr>
        <w:top w:val="none" w:sz="0" w:space="0" w:color="auto"/>
        <w:left w:val="none" w:sz="0" w:space="0" w:color="auto"/>
        <w:bottom w:val="none" w:sz="0" w:space="0" w:color="auto"/>
        <w:right w:val="none" w:sz="0" w:space="0" w:color="auto"/>
      </w:divBdr>
    </w:div>
    <w:div w:id="1943950570">
      <w:bodyDiv w:val="1"/>
      <w:marLeft w:val="0"/>
      <w:marRight w:val="0"/>
      <w:marTop w:val="0"/>
      <w:marBottom w:val="0"/>
      <w:divBdr>
        <w:top w:val="none" w:sz="0" w:space="0" w:color="auto"/>
        <w:left w:val="none" w:sz="0" w:space="0" w:color="auto"/>
        <w:bottom w:val="none" w:sz="0" w:space="0" w:color="auto"/>
        <w:right w:val="none" w:sz="0" w:space="0" w:color="auto"/>
      </w:divBdr>
    </w:div>
    <w:div w:id="1993941491">
      <w:bodyDiv w:val="1"/>
      <w:marLeft w:val="0"/>
      <w:marRight w:val="0"/>
      <w:marTop w:val="0"/>
      <w:marBottom w:val="0"/>
      <w:divBdr>
        <w:top w:val="none" w:sz="0" w:space="0" w:color="auto"/>
        <w:left w:val="none" w:sz="0" w:space="0" w:color="auto"/>
        <w:bottom w:val="none" w:sz="0" w:space="0" w:color="auto"/>
        <w:right w:val="none" w:sz="0" w:space="0" w:color="auto"/>
      </w:divBdr>
    </w:div>
    <w:div w:id="2050716971">
      <w:bodyDiv w:val="1"/>
      <w:marLeft w:val="0"/>
      <w:marRight w:val="0"/>
      <w:marTop w:val="0"/>
      <w:marBottom w:val="0"/>
      <w:divBdr>
        <w:top w:val="none" w:sz="0" w:space="0" w:color="auto"/>
        <w:left w:val="none" w:sz="0" w:space="0" w:color="auto"/>
        <w:bottom w:val="none" w:sz="0" w:space="0" w:color="auto"/>
        <w:right w:val="none" w:sz="0" w:space="0" w:color="auto"/>
      </w:divBdr>
    </w:div>
    <w:div w:id="213948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huvienphapluat.vn/van-ban/bo-may-hanh-chinh/quyet-dinh-933-qd-ttg-2023-cai-cach-thu-tuc-hanh-chinh-trong-tam-6-thang-cuoi-nam-574922.asp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vyea.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YnxaDE0MVhgr5waZ935ejRO2g==">AMUW2mVpKl0xXVGGpUPwaR2qHkQRw31xqp1wTr0RB5RKDRgTIWL3HWowUO89vFHmX6EloR4kybSb5fb61WXI/ialWTUXnsMtRQT/Je8EzUHBLGcyHoD4MSbaE/7pnU/Kul0O7cU+VrIhEQ3iLBLCCktES9SQDHEO536K1vHoVGOyAT4J/we3rNVmBY/XSlpgVok7ublghwaOw/Y3Mh+bWeZ+cambALUS2Q==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5A48DA-52B1-48D5-821C-404AD464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5261</Words>
  <Characters>29989</Characters>
  <Application>Microsoft Office Word</Application>
  <DocSecurity>0</DocSecurity>
  <Lines>249</Lines>
  <Paragraphs>70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nguyenhoanglong</dc:creator>
  <cp:lastModifiedBy>user1</cp:lastModifiedBy>
  <cp:revision>216</cp:revision>
  <cp:lastPrinted>2024-07-15T08:39:00Z</cp:lastPrinted>
  <dcterms:created xsi:type="dcterms:W3CDTF">2024-06-27T06:55:00Z</dcterms:created>
  <dcterms:modified xsi:type="dcterms:W3CDTF">2024-07-25T02:11:00Z</dcterms:modified>
</cp:coreProperties>
</file>